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4C" w:rsidRPr="00CB58AD" w:rsidRDefault="0000105F" w:rsidP="007B1974">
      <w:pPr>
        <w:pBdr>
          <w:top w:val="single" w:sz="4" w:space="1" w:color="auto"/>
          <w:left w:val="single" w:sz="4" w:space="4" w:color="auto"/>
          <w:bottom w:val="single" w:sz="4" w:space="1" w:color="auto"/>
          <w:right w:val="single" w:sz="4" w:space="4" w:color="auto"/>
        </w:pBdr>
        <w:shd w:val="clear" w:color="auto" w:fill="E6E6E6"/>
        <w:contextualSpacing/>
        <w:jc w:val="center"/>
        <w:rPr>
          <w:rFonts w:ascii="Arial" w:hAnsi="Arial" w:cs="Arial"/>
          <w:b/>
          <w:bCs/>
          <w:color w:val="FF0000"/>
          <w:sz w:val="28"/>
          <w:szCs w:val="28"/>
        </w:rPr>
      </w:pPr>
      <w:r w:rsidRPr="00CB58AD">
        <w:rPr>
          <w:rFonts w:ascii="Arial" w:hAnsi="Arial" w:cs="Arial"/>
          <w:b/>
          <w:bCs/>
          <w:color w:val="FF0000"/>
          <w:sz w:val="28"/>
          <w:szCs w:val="28"/>
        </w:rPr>
        <w:t>Compte rendu de la</w:t>
      </w:r>
      <w:r w:rsidR="00A6596D" w:rsidRPr="00CB58AD">
        <w:rPr>
          <w:rFonts w:ascii="Arial" w:hAnsi="Arial" w:cs="Arial"/>
          <w:b/>
          <w:bCs/>
          <w:color w:val="FF0000"/>
          <w:sz w:val="28"/>
          <w:szCs w:val="28"/>
        </w:rPr>
        <w:t xml:space="preserve"> </w:t>
      </w:r>
      <w:r w:rsidR="00EF19E0" w:rsidRPr="00CB58AD">
        <w:rPr>
          <w:rFonts w:ascii="Arial" w:hAnsi="Arial" w:cs="Arial"/>
          <w:b/>
          <w:bCs/>
          <w:color w:val="FF0000"/>
          <w:sz w:val="28"/>
          <w:szCs w:val="28"/>
        </w:rPr>
        <w:t>2</w:t>
      </w:r>
      <w:r w:rsidR="00FA59EC" w:rsidRPr="00CB58AD">
        <w:rPr>
          <w:rFonts w:ascii="Arial" w:hAnsi="Arial" w:cs="Arial"/>
          <w:b/>
          <w:bCs/>
          <w:color w:val="FF0000"/>
          <w:sz w:val="28"/>
          <w:szCs w:val="28"/>
        </w:rPr>
        <w:t>5</w:t>
      </w:r>
      <w:r w:rsidR="006F774C" w:rsidRPr="00CB58AD">
        <w:rPr>
          <w:rFonts w:ascii="Arial" w:hAnsi="Arial" w:cs="Arial"/>
          <w:b/>
          <w:bCs/>
          <w:color w:val="FF0000"/>
          <w:sz w:val="28"/>
          <w:szCs w:val="28"/>
          <w:vertAlign w:val="superscript"/>
        </w:rPr>
        <w:t>ème</w:t>
      </w:r>
      <w:r w:rsidR="006F774C" w:rsidRPr="00CB58AD">
        <w:rPr>
          <w:rFonts w:ascii="Arial" w:hAnsi="Arial" w:cs="Arial"/>
          <w:b/>
          <w:bCs/>
          <w:color w:val="FF0000"/>
          <w:sz w:val="28"/>
          <w:szCs w:val="28"/>
        </w:rPr>
        <w:t xml:space="preserve"> journée du</w:t>
      </w:r>
    </w:p>
    <w:p w:rsidR="006F774C" w:rsidRPr="00CB58AD" w:rsidRDefault="00846193" w:rsidP="007B1974">
      <w:pPr>
        <w:pBdr>
          <w:top w:val="single" w:sz="4" w:space="1" w:color="auto"/>
          <w:left w:val="single" w:sz="4" w:space="4" w:color="auto"/>
          <w:bottom w:val="single" w:sz="4" w:space="1" w:color="auto"/>
          <w:right w:val="single" w:sz="4" w:space="4" w:color="auto"/>
        </w:pBdr>
        <w:shd w:val="clear" w:color="auto" w:fill="E6E6E6"/>
        <w:contextualSpacing/>
        <w:jc w:val="center"/>
        <w:rPr>
          <w:rFonts w:ascii="Arial" w:hAnsi="Arial" w:cs="Arial"/>
          <w:b/>
          <w:bCs/>
          <w:color w:val="FF0000"/>
          <w:sz w:val="28"/>
          <w:szCs w:val="28"/>
        </w:rPr>
      </w:pPr>
      <w:r w:rsidRPr="00CB58AD">
        <w:rPr>
          <w:rFonts w:ascii="Arial" w:hAnsi="Arial" w:cs="Arial"/>
          <w:b/>
          <w:bCs/>
          <w:color w:val="FF0000"/>
          <w:sz w:val="28"/>
          <w:szCs w:val="28"/>
        </w:rPr>
        <w:t>Groupe d’</w:t>
      </w:r>
      <w:r w:rsidR="00B21B2A" w:rsidRPr="00CB58AD">
        <w:rPr>
          <w:rFonts w:ascii="Arial" w:hAnsi="Arial" w:cs="Arial"/>
          <w:b/>
          <w:bCs/>
          <w:color w:val="FF0000"/>
          <w:sz w:val="28"/>
          <w:szCs w:val="28"/>
        </w:rPr>
        <w:t>E</w:t>
      </w:r>
      <w:r w:rsidRPr="00CB58AD">
        <w:rPr>
          <w:rFonts w:ascii="Arial" w:hAnsi="Arial" w:cs="Arial"/>
          <w:b/>
          <w:bCs/>
          <w:color w:val="FF0000"/>
          <w:sz w:val="28"/>
          <w:szCs w:val="28"/>
        </w:rPr>
        <w:t>tude de la biologie des maladies hémorragiques (BIMHO)</w:t>
      </w:r>
    </w:p>
    <w:p w:rsidR="00321E77" w:rsidRPr="00CB58AD" w:rsidRDefault="00321E77" w:rsidP="007B1974">
      <w:pPr>
        <w:contextualSpacing/>
        <w:jc w:val="both"/>
        <w:rPr>
          <w:rFonts w:ascii="Arial" w:hAnsi="Arial" w:cs="Arial"/>
          <w:color w:val="FF0000"/>
          <w:sz w:val="28"/>
          <w:szCs w:val="28"/>
        </w:rPr>
      </w:pPr>
    </w:p>
    <w:p w:rsidR="008D3578" w:rsidRPr="00CB58AD" w:rsidRDefault="008D3578" w:rsidP="007B1974">
      <w:pPr>
        <w:contextualSpacing/>
        <w:jc w:val="both"/>
        <w:rPr>
          <w:rFonts w:ascii="Arial" w:hAnsi="Arial" w:cs="Arial"/>
          <w:color w:val="000000" w:themeColor="text1"/>
        </w:rPr>
      </w:pPr>
      <w:r w:rsidRPr="00CB58AD">
        <w:rPr>
          <w:rFonts w:ascii="Arial" w:hAnsi="Arial" w:cs="Arial"/>
          <w:color w:val="000000" w:themeColor="text1"/>
        </w:rPr>
        <w:t>Cette réunion s’est tenue</w:t>
      </w:r>
      <w:r w:rsidR="00246134" w:rsidRPr="00CB58AD">
        <w:rPr>
          <w:rFonts w:ascii="Arial" w:hAnsi="Arial" w:cs="Arial"/>
          <w:color w:val="000000" w:themeColor="text1"/>
        </w:rPr>
        <w:t xml:space="preserve"> </w:t>
      </w:r>
      <w:r w:rsidR="002738F3" w:rsidRPr="00CB58AD">
        <w:rPr>
          <w:rFonts w:ascii="Arial" w:hAnsi="Arial" w:cs="Arial"/>
          <w:color w:val="000000" w:themeColor="text1"/>
        </w:rPr>
        <w:t xml:space="preserve">le </w:t>
      </w:r>
      <w:r w:rsidR="00FA59EC" w:rsidRPr="00CB58AD">
        <w:rPr>
          <w:rFonts w:ascii="Arial" w:hAnsi="Arial" w:cs="Arial"/>
          <w:color w:val="000000" w:themeColor="text1"/>
        </w:rPr>
        <w:t>7 juin 2024</w:t>
      </w:r>
      <w:r w:rsidR="00246134" w:rsidRPr="00CB58AD">
        <w:rPr>
          <w:rFonts w:ascii="Arial" w:hAnsi="Arial" w:cs="Arial"/>
          <w:color w:val="000000" w:themeColor="text1"/>
        </w:rPr>
        <w:t xml:space="preserve"> </w:t>
      </w:r>
      <w:r w:rsidRPr="00CB58AD">
        <w:rPr>
          <w:rFonts w:ascii="Arial" w:hAnsi="Arial" w:cs="Arial"/>
          <w:color w:val="000000" w:themeColor="text1"/>
        </w:rPr>
        <w:t xml:space="preserve">et a rassemblé </w:t>
      </w:r>
      <w:r w:rsidR="00EF19E0" w:rsidRPr="00CB58AD">
        <w:rPr>
          <w:rFonts w:ascii="Arial" w:hAnsi="Arial" w:cs="Arial"/>
          <w:color w:val="000000" w:themeColor="text1"/>
        </w:rPr>
        <w:t>41</w:t>
      </w:r>
      <w:r w:rsidR="002738F3" w:rsidRPr="00CB58AD">
        <w:rPr>
          <w:rFonts w:ascii="Arial" w:hAnsi="Arial" w:cs="Arial"/>
          <w:color w:val="000000" w:themeColor="text1"/>
        </w:rPr>
        <w:t xml:space="preserve"> </w:t>
      </w:r>
      <w:r w:rsidRPr="00CB58AD">
        <w:rPr>
          <w:rFonts w:ascii="Arial" w:hAnsi="Arial" w:cs="Arial"/>
          <w:color w:val="000000" w:themeColor="text1"/>
        </w:rPr>
        <w:t>biologistes.</w:t>
      </w:r>
    </w:p>
    <w:p w:rsidR="002738F3" w:rsidRPr="00CB58AD" w:rsidRDefault="002738F3" w:rsidP="007B1974">
      <w:pPr>
        <w:jc w:val="both"/>
        <w:rPr>
          <w:rFonts w:ascii="Arial" w:hAnsi="Arial" w:cs="Arial"/>
          <w:b/>
          <w:color w:val="000000" w:themeColor="text1"/>
          <w:u w:val="single"/>
        </w:rPr>
      </w:pPr>
    </w:p>
    <w:p w:rsidR="008D13E6" w:rsidRPr="00CB58AD" w:rsidRDefault="008D13E6" w:rsidP="00253DB1">
      <w:pPr>
        <w:pStyle w:val="Paragraphedeliste"/>
        <w:numPr>
          <w:ilvl w:val="0"/>
          <w:numId w:val="2"/>
        </w:numPr>
        <w:autoSpaceDE w:val="0"/>
        <w:autoSpaceDN w:val="0"/>
        <w:adjustRightInd w:val="0"/>
        <w:jc w:val="both"/>
        <w:rPr>
          <w:rFonts w:ascii="Arial" w:hAnsi="Arial" w:cs="Arial"/>
          <w:b/>
          <w:color w:val="000000" w:themeColor="text1"/>
          <w:sz w:val="28"/>
          <w:szCs w:val="28"/>
        </w:rPr>
      </w:pPr>
      <w:r w:rsidRPr="00CB58AD">
        <w:rPr>
          <w:rFonts w:ascii="Arial" w:hAnsi="Arial" w:cs="Arial"/>
          <w:b/>
          <w:color w:val="FF0000"/>
          <w:sz w:val="28"/>
          <w:szCs w:val="28"/>
        </w:rPr>
        <w:t>Réactualisation des recommandations sur le dosage FVIII et FIX</w:t>
      </w:r>
      <w:r w:rsidR="00336CDC" w:rsidRPr="00CB58AD">
        <w:rPr>
          <w:rFonts w:ascii="Arial" w:hAnsi="Arial" w:cs="Arial"/>
          <w:b/>
          <w:color w:val="FF0000"/>
          <w:sz w:val="28"/>
          <w:szCs w:val="28"/>
        </w:rPr>
        <w:t xml:space="preserve"> </w:t>
      </w:r>
      <w:r w:rsidRPr="00CB58AD">
        <w:rPr>
          <w:rFonts w:ascii="Arial" w:hAnsi="Arial" w:cs="Arial"/>
          <w:b/>
          <w:color w:val="FF0000"/>
          <w:sz w:val="28"/>
          <w:szCs w:val="28"/>
        </w:rPr>
        <w:t xml:space="preserve">chez le patient hémophile substitué : </w:t>
      </w:r>
      <w:r w:rsidRPr="00CB58AD">
        <w:rPr>
          <w:rFonts w:ascii="Arial" w:hAnsi="Arial" w:cs="Arial"/>
          <w:b/>
          <w:color w:val="000000" w:themeColor="text1"/>
          <w:sz w:val="28"/>
          <w:szCs w:val="28"/>
        </w:rPr>
        <w:t>C</w:t>
      </w:r>
      <w:r w:rsidR="00EB0C80" w:rsidRPr="00CB58AD">
        <w:rPr>
          <w:rFonts w:ascii="Arial" w:hAnsi="Arial" w:cs="Arial"/>
          <w:b/>
          <w:color w:val="000000" w:themeColor="text1"/>
          <w:sz w:val="28"/>
          <w:szCs w:val="28"/>
        </w:rPr>
        <w:t>laire</w:t>
      </w:r>
      <w:r w:rsidRPr="00CB58AD">
        <w:rPr>
          <w:rFonts w:ascii="Arial" w:hAnsi="Arial" w:cs="Arial"/>
          <w:b/>
          <w:color w:val="000000" w:themeColor="text1"/>
          <w:sz w:val="28"/>
          <w:szCs w:val="28"/>
        </w:rPr>
        <w:t xml:space="preserve"> Pouplard, </w:t>
      </w:r>
      <w:r w:rsidR="00EC4C9D" w:rsidRPr="00CB58AD">
        <w:rPr>
          <w:rFonts w:ascii="Arial" w:hAnsi="Arial" w:cs="Arial"/>
          <w:b/>
          <w:color w:val="000000" w:themeColor="text1"/>
          <w:sz w:val="28"/>
          <w:szCs w:val="28"/>
        </w:rPr>
        <w:t>C</w:t>
      </w:r>
      <w:r w:rsidR="00EB0C80" w:rsidRPr="00CB58AD">
        <w:rPr>
          <w:rFonts w:ascii="Arial" w:hAnsi="Arial" w:cs="Arial"/>
          <w:b/>
          <w:color w:val="000000" w:themeColor="text1"/>
          <w:sz w:val="28"/>
          <w:szCs w:val="28"/>
        </w:rPr>
        <w:t>hristophe</w:t>
      </w:r>
      <w:r w:rsidR="00EC4C9D" w:rsidRPr="00CB58AD">
        <w:rPr>
          <w:rFonts w:ascii="Arial" w:hAnsi="Arial" w:cs="Arial"/>
          <w:b/>
          <w:color w:val="000000" w:themeColor="text1"/>
          <w:sz w:val="28"/>
          <w:szCs w:val="28"/>
        </w:rPr>
        <w:t xml:space="preserve"> Nougier</w:t>
      </w:r>
      <w:r w:rsidRPr="00CB58AD">
        <w:rPr>
          <w:rFonts w:ascii="Arial" w:hAnsi="Arial" w:cs="Arial"/>
          <w:b/>
          <w:color w:val="000000" w:themeColor="text1"/>
          <w:sz w:val="28"/>
          <w:szCs w:val="28"/>
        </w:rPr>
        <w:t xml:space="preserve"> et le groupe de rédacteurs</w:t>
      </w:r>
    </w:p>
    <w:p w:rsidR="00EB0C80" w:rsidRPr="00CB58AD" w:rsidRDefault="00EB0C80" w:rsidP="006B7E6D">
      <w:pPr>
        <w:pStyle w:val="Paragraphedeliste"/>
        <w:autoSpaceDE w:val="0"/>
        <w:autoSpaceDN w:val="0"/>
        <w:adjustRightInd w:val="0"/>
        <w:ind w:left="360"/>
        <w:jc w:val="both"/>
        <w:rPr>
          <w:rFonts w:ascii="Arial" w:hAnsi="Arial" w:cs="Arial"/>
          <w:sz w:val="28"/>
          <w:szCs w:val="28"/>
        </w:rPr>
      </w:pPr>
    </w:p>
    <w:p w:rsidR="006B7E6D" w:rsidRPr="00CB58AD" w:rsidRDefault="006B7E6D" w:rsidP="006B7E6D">
      <w:pPr>
        <w:pStyle w:val="Paragraphedeliste"/>
        <w:autoSpaceDE w:val="0"/>
        <w:autoSpaceDN w:val="0"/>
        <w:adjustRightInd w:val="0"/>
        <w:ind w:left="360"/>
        <w:jc w:val="both"/>
        <w:rPr>
          <w:rFonts w:ascii="Arial" w:hAnsi="Arial" w:cs="Arial"/>
        </w:rPr>
      </w:pPr>
      <w:r w:rsidRPr="00CB58AD">
        <w:rPr>
          <w:rFonts w:ascii="Arial" w:hAnsi="Arial" w:cs="Arial"/>
        </w:rPr>
        <w:t xml:space="preserve">Ce travail est actuellement en cours </w:t>
      </w:r>
      <w:r w:rsidR="00EB0C80" w:rsidRPr="00CB58AD">
        <w:rPr>
          <w:rFonts w:ascii="Arial" w:hAnsi="Arial" w:cs="Arial"/>
        </w:rPr>
        <w:t xml:space="preserve">de rédaction </w:t>
      </w:r>
      <w:r w:rsidR="00D26888" w:rsidRPr="00CB58AD">
        <w:rPr>
          <w:rFonts w:ascii="Arial" w:hAnsi="Arial" w:cs="Arial"/>
        </w:rPr>
        <w:t>et dev</w:t>
      </w:r>
      <w:r w:rsidR="000A0009" w:rsidRPr="00CB58AD">
        <w:rPr>
          <w:rFonts w:ascii="Arial" w:hAnsi="Arial" w:cs="Arial"/>
        </w:rPr>
        <w:t>rait aboutir à de</w:t>
      </w:r>
      <w:r w:rsidR="00F51414" w:rsidRPr="00CB58AD">
        <w:rPr>
          <w:rFonts w:ascii="Arial" w:hAnsi="Arial" w:cs="Arial"/>
        </w:rPr>
        <w:t xml:space="preserve">s </w:t>
      </w:r>
      <w:r w:rsidR="000A0009" w:rsidRPr="00CB58AD">
        <w:rPr>
          <w:rFonts w:ascii="Arial" w:hAnsi="Arial" w:cs="Arial"/>
        </w:rPr>
        <w:t>pro</w:t>
      </w:r>
      <w:r w:rsidR="00D26888" w:rsidRPr="00CB58AD">
        <w:rPr>
          <w:rFonts w:ascii="Arial" w:hAnsi="Arial" w:cs="Arial"/>
        </w:rPr>
        <w:t>positions</w:t>
      </w:r>
      <w:r w:rsidR="00F51414" w:rsidRPr="00CB58AD">
        <w:rPr>
          <w:rFonts w:ascii="Arial" w:hAnsi="Arial" w:cs="Arial"/>
        </w:rPr>
        <w:t xml:space="preserve"> réactualisées</w:t>
      </w:r>
      <w:r w:rsidR="00D26888" w:rsidRPr="00CB58AD">
        <w:rPr>
          <w:rFonts w:ascii="Arial" w:hAnsi="Arial" w:cs="Arial"/>
        </w:rPr>
        <w:t>.</w:t>
      </w:r>
    </w:p>
    <w:p w:rsidR="00EB0C80" w:rsidRPr="00CB58AD" w:rsidRDefault="00EB0C80" w:rsidP="006B7E6D">
      <w:pPr>
        <w:pStyle w:val="Paragraphedeliste"/>
        <w:autoSpaceDE w:val="0"/>
        <w:autoSpaceDN w:val="0"/>
        <w:adjustRightInd w:val="0"/>
        <w:ind w:left="360"/>
        <w:jc w:val="both"/>
        <w:rPr>
          <w:rFonts w:ascii="Arial" w:hAnsi="Arial" w:cs="Arial"/>
        </w:rPr>
      </w:pPr>
    </w:p>
    <w:p w:rsidR="008D13E6" w:rsidRPr="00CB58AD" w:rsidRDefault="008D13E6" w:rsidP="00253DB1">
      <w:pPr>
        <w:pStyle w:val="Paragraphedeliste"/>
        <w:numPr>
          <w:ilvl w:val="0"/>
          <w:numId w:val="2"/>
        </w:numPr>
        <w:autoSpaceDE w:val="0"/>
        <w:autoSpaceDN w:val="0"/>
        <w:adjustRightInd w:val="0"/>
        <w:jc w:val="both"/>
        <w:rPr>
          <w:rFonts w:ascii="Arial" w:hAnsi="Arial" w:cs="Arial"/>
          <w:b/>
          <w:color w:val="000000" w:themeColor="text1"/>
          <w:sz w:val="28"/>
          <w:szCs w:val="28"/>
        </w:rPr>
      </w:pPr>
      <w:r w:rsidRPr="00CB58AD">
        <w:rPr>
          <w:rFonts w:ascii="Arial" w:hAnsi="Arial" w:cs="Arial"/>
          <w:b/>
          <w:color w:val="FF0000"/>
          <w:sz w:val="28"/>
          <w:szCs w:val="28"/>
        </w:rPr>
        <w:t>Interaction Facteur VIII -plaquettes</w:t>
      </w:r>
      <w:r w:rsidR="00336CDC" w:rsidRPr="00CB58AD">
        <w:rPr>
          <w:rFonts w:ascii="Arial" w:hAnsi="Arial" w:cs="Arial"/>
          <w:b/>
          <w:color w:val="FF0000"/>
          <w:sz w:val="28"/>
          <w:szCs w:val="28"/>
        </w:rPr>
        <w:t xml:space="preserve"> : </w:t>
      </w:r>
      <w:r w:rsidR="00D26888" w:rsidRPr="00CB58AD">
        <w:rPr>
          <w:rFonts w:ascii="Arial" w:hAnsi="Arial" w:cs="Arial"/>
          <w:b/>
          <w:color w:val="000000" w:themeColor="text1"/>
          <w:sz w:val="28"/>
          <w:szCs w:val="28"/>
        </w:rPr>
        <w:t>Valérie Proulle</w:t>
      </w:r>
    </w:p>
    <w:p w:rsidR="00D26888" w:rsidRPr="00CB58AD" w:rsidRDefault="00D26888" w:rsidP="00D26888">
      <w:pPr>
        <w:pStyle w:val="Paragraphedeliste"/>
        <w:autoSpaceDE w:val="0"/>
        <w:autoSpaceDN w:val="0"/>
        <w:adjustRightInd w:val="0"/>
        <w:ind w:left="360"/>
        <w:jc w:val="both"/>
        <w:rPr>
          <w:rFonts w:ascii="Arial" w:hAnsi="Arial" w:cs="Arial"/>
          <w:b/>
          <w:color w:val="000000" w:themeColor="text1"/>
          <w:sz w:val="28"/>
          <w:szCs w:val="28"/>
        </w:rPr>
      </w:pPr>
    </w:p>
    <w:p w:rsidR="00313E35" w:rsidRDefault="00313E35" w:rsidP="00313E35">
      <w:pPr>
        <w:pStyle w:val="Paragraphedeliste"/>
        <w:ind w:left="360" w:firstLine="348"/>
        <w:jc w:val="both"/>
        <w:rPr>
          <w:rFonts w:ascii="Arial" w:hAnsi="Arial" w:cs="Arial"/>
        </w:rPr>
      </w:pPr>
      <w:r w:rsidRPr="00CB58AD">
        <w:rPr>
          <w:rFonts w:ascii="Arial" w:hAnsi="Arial" w:cs="Arial"/>
        </w:rPr>
        <w:t xml:space="preserve">Article de l’étudiante en thèse co-encadrée avec le Dr S Lacroix Desmazes au sein de l’U1138, CRC, Paris : High factor VIII concentrations interfere with glycoprotein VI-mediated platelet activation in vitro. Sekar R, Mimoun A, Bou-Jaoudeh M, Loyau S, Delignat S, Daventure V, Bonilla P, Bhale AS, Venkataraman K, Rayes J, Boulaftali Y, Jandrot-Perrus M, Proulle V, Lacroix-Desmazes S. J Thromb Haemost. 2024 </w:t>
      </w:r>
    </w:p>
    <w:p w:rsidR="00CB58AD" w:rsidRPr="00CB58AD" w:rsidRDefault="00CB58AD" w:rsidP="00313E35">
      <w:pPr>
        <w:pStyle w:val="Paragraphedeliste"/>
        <w:ind w:left="360" w:firstLine="348"/>
        <w:jc w:val="both"/>
        <w:rPr>
          <w:rFonts w:ascii="Arial" w:hAnsi="Arial" w:cs="Arial"/>
        </w:rPr>
      </w:pPr>
    </w:p>
    <w:p w:rsidR="00D26888" w:rsidRPr="00CB58AD" w:rsidRDefault="00CB21C9" w:rsidP="00313E35">
      <w:pPr>
        <w:pStyle w:val="Paragraphedeliste"/>
        <w:ind w:left="360" w:firstLine="348"/>
        <w:jc w:val="both"/>
        <w:rPr>
          <w:rFonts w:ascii="Arial" w:hAnsi="Arial" w:cs="Arial"/>
        </w:rPr>
      </w:pPr>
      <w:r w:rsidRPr="00CB58AD">
        <w:rPr>
          <w:rFonts w:ascii="Arial" w:hAnsi="Arial" w:cs="Arial"/>
        </w:rPr>
        <w:t xml:space="preserve">Classiquement, le récepteur du facteur VIII (FVIII) et plus particulièrement du FVIII activé (FVIIIa) à la surface plaquettaire est un phospholipide présent en grande quantité à la surface des plaquettes activées, la phosphatidylsérine (PS) et, éventuellement, l’intégrine αIIbβ3 liée à la fibrine. La fixation du FVIIIa aux plaquettes est une étape clé de la génération de thrombine et de fibrine lors de la formation du thrombus sur le site de la lésion vasculaire. Des travaux fondamentaux avaient suggéré que la liaison du FVIII aux plaquettes au repos existait, et que cette liaison pouvait concerner des récepteurs indépendants de la PS. Cette liaison n’avait pas été étudiée sur le plan fonctionnel. </w:t>
      </w:r>
    </w:p>
    <w:p w:rsidR="00D26888" w:rsidRPr="00CB58AD" w:rsidRDefault="00CB21C9" w:rsidP="00D26888">
      <w:pPr>
        <w:pStyle w:val="Paragraphedeliste"/>
        <w:ind w:left="360" w:firstLine="348"/>
        <w:jc w:val="both"/>
        <w:rPr>
          <w:rFonts w:ascii="Arial" w:hAnsi="Arial" w:cs="Arial"/>
        </w:rPr>
      </w:pPr>
      <w:r w:rsidRPr="00CB58AD">
        <w:rPr>
          <w:rFonts w:ascii="Arial" w:hAnsi="Arial" w:cs="Arial"/>
        </w:rPr>
        <w:t xml:space="preserve">Le but de ce travail était de caractériser les effets de l’interaction FVIII-plaquettes et la modulation potentielle de la fonction plaquettaire. In vitro, du FVIII a été incubé avec des plaquettes lavées. Les effets sur l’activation plaquettaire (spontanément ou déclenchée par le collagène et la thrombine) ont été étudiés par cytométrie en flux et agrégation optique. L’exploration de l’implication des voies avals a été faite en étudiant les profils de phosphorylation (Western blot). L’interaction FVIII-glycoprotéine VI (GPVI) a été étudiée par ELISA, microscopie confocale et test de ligature de proximité. </w:t>
      </w:r>
    </w:p>
    <w:p w:rsidR="00CB21C9" w:rsidRPr="00CB58AD" w:rsidRDefault="00CB21C9" w:rsidP="00D26888">
      <w:pPr>
        <w:pStyle w:val="Paragraphedeliste"/>
        <w:ind w:left="360" w:firstLine="348"/>
        <w:jc w:val="both"/>
        <w:rPr>
          <w:rFonts w:ascii="Arial" w:hAnsi="Arial" w:cs="Arial"/>
          <w:sz w:val="22"/>
          <w:szCs w:val="22"/>
        </w:rPr>
      </w:pPr>
      <w:r w:rsidRPr="00CB58AD">
        <w:rPr>
          <w:rFonts w:ascii="Arial" w:hAnsi="Arial" w:cs="Arial"/>
        </w:rPr>
        <w:t>Il a été montré que le FVIII se liait bien à la surface des plaquettes au repos et activées, et ce de manière dose-dépendante et spécifique. Néanmoins, le FVIII à des concentrations supraphysiologiques n’induit pas d’activation plaquettaire, mais inhibe spécifiquement l’agrégation plaquettaire induite par le collagène. Cette inhibition s’accompagne d’une diminution significative de la phosphorylation dépendante de la voie de la glycoprotéine VI (GPVI). Il a été montré en parallèle que le FVIII, libéré de sa protéine chaperonne von Willebrand factor (VWF), interagit à proximité immédiate de GPVI à la surface des plaquettes.</w:t>
      </w:r>
    </w:p>
    <w:p w:rsidR="00CB21C9" w:rsidRPr="00CB58AD" w:rsidRDefault="00CB21C9" w:rsidP="00D26888">
      <w:pPr>
        <w:pStyle w:val="Paragraphedeliste"/>
        <w:ind w:left="360"/>
        <w:jc w:val="both"/>
        <w:rPr>
          <w:rFonts w:ascii="Arial" w:hAnsi="Arial" w:cs="Arial"/>
        </w:rPr>
      </w:pPr>
      <w:r w:rsidRPr="00CB58AD">
        <w:rPr>
          <w:rFonts w:ascii="Arial" w:hAnsi="Arial" w:cs="Arial"/>
          <w:b/>
        </w:rPr>
        <w:lastRenderedPageBreak/>
        <w:t>En conclusion</w:t>
      </w:r>
      <w:r w:rsidRPr="00CB58AD">
        <w:rPr>
          <w:rFonts w:ascii="Arial" w:hAnsi="Arial" w:cs="Arial"/>
        </w:rPr>
        <w:t xml:space="preserve">, ces travaux prouvent pour la première fois que le FVIII, libéré du VWF, se lie à la GPVI ou à proximité de celle-ci, et que cette liaison module l’activation plaquettaire </w:t>
      </w:r>
      <w:r w:rsidRPr="00CB58AD">
        <w:rPr>
          <w:rFonts w:ascii="Arial" w:hAnsi="Arial" w:cs="Arial"/>
          <w:i/>
        </w:rPr>
        <w:t>in vitro</w:t>
      </w:r>
      <w:r w:rsidRPr="00CB58AD">
        <w:rPr>
          <w:rFonts w:ascii="Arial" w:hAnsi="Arial" w:cs="Arial"/>
        </w:rPr>
        <w:t xml:space="preserve">. Ce résultat suggère qu’il pourrait être responsable d’une boucle de rétroaction négative pour contrôler l’activation plaquettaire au sein du thrombus en formation. Il reste à déterminer si les concentrations de FVIIIa localement obtenues lors de l’accumulation de plaquettes et de la formation de thrombus sur le site de la lésion vasculaire </w:t>
      </w:r>
      <w:r w:rsidRPr="00CB58AD">
        <w:rPr>
          <w:rFonts w:ascii="Arial" w:hAnsi="Arial" w:cs="Arial"/>
          <w:i/>
        </w:rPr>
        <w:t>in vivo</w:t>
      </w:r>
      <w:r w:rsidRPr="00CB58AD">
        <w:rPr>
          <w:rFonts w:ascii="Arial" w:hAnsi="Arial" w:cs="Arial"/>
        </w:rPr>
        <w:t xml:space="preserve"> sont compatibles avec une telle fonction.</w:t>
      </w:r>
    </w:p>
    <w:p w:rsidR="00CB21C9" w:rsidRPr="00CB58AD" w:rsidRDefault="00CB21C9" w:rsidP="00D26888">
      <w:pPr>
        <w:pStyle w:val="Paragraphedeliste"/>
        <w:autoSpaceDE w:val="0"/>
        <w:autoSpaceDN w:val="0"/>
        <w:adjustRightInd w:val="0"/>
        <w:ind w:left="360"/>
        <w:jc w:val="both"/>
        <w:rPr>
          <w:rFonts w:ascii="Arial" w:hAnsi="Arial" w:cs="Arial"/>
          <w:b/>
          <w:color w:val="000000" w:themeColor="text1"/>
        </w:rPr>
      </w:pPr>
    </w:p>
    <w:p w:rsidR="008D13E6" w:rsidRPr="00CB58AD" w:rsidRDefault="008D13E6" w:rsidP="00253DB1">
      <w:pPr>
        <w:pStyle w:val="Paragraphedeliste"/>
        <w:numPr>
          <w:ilvl w:val="0"/>
          <w:numId w:val="2"/>
        </w:numPr>
        <w:autoSpaceDE w:val="0"/>
        <w:autoSpaceDN w:val="0"/>
        <w:adjustRightInd w:val="0"/>
        <w:jc w:val="both"/>
        <w:rPr>
          <w:rFonts w:ascii="Arial" w:hAnsi="Arial" w:cs="Arial"/>
          <w:color w:val="000000" w:themeColor="text1"/>
          <w:sz w:val="28"/>
          <w:szCs w:val="28"/>
        </w:rPr>
      </w:pPr>
      <w:r w:rsidRPr="00CB58AD">
        <w:rPr>
          <w:rFonts w:ascii="Arial" w:hAnsi="Arial" w:cs="Arial"/>
          <w:b/>
          <w:color w:val="FF0000"/>
          <w:sz w:val="28"/>
          <w:szCs w:val="28"/>
        </w:rPr>
        <w:t>Bibliographie :</w:t>
      </w:r>
    </w:p>
    <w:p w:rsidR="00EB0C80" w:rsidRPr="00CB58AD" w:rsidRDefault="00EB0C80" w:rsidP="00D26888">
      <w:pPr>
        <w:pStyle w:val="Paragraphedeliste"/>
        <w:autoSpaceDE w:val="0"/>
        <w:autoSpaceDN w:val="0"/>
        <w:adjustRightInd w:val="0"/>
        <w:ind w:left="360"/>
        <w:jc w:val="both"/>
        <w:rPr>
          <w:rFonts w:ascii="Arial" w:hAnsi="Arial" w:cs="Arial"/>
          <w:color w:val="000000" w:themeColor="text1"/>
        </w:rPr>
      </w:pPr>
    </w:p>
    <w:p w:rsidR="00EA790F" w:rsidRPr="00CB58AD" w:rsidRDefault="00EA790F" w:rsidP="002A21A0">
      <w:pPr>
        <w:pStyle w:val="Paragraphedeliste"/>
        <w:numPr>
          <w:ilvl w:val="0"/>
          <w:numId w:val="7"/>
        </w:numPr>
        <w:rPr>
          <w:rFonts w:ascii="Arial" w:hAnsi="Arial" w:cs="Arial"/>
          <w:color w:val="FF0000"/>
        </w:rPr>
      </w:pPr>
      <w:r w:rsidRPr="00CB58AD">
        <w:rPr>
          <w:rFonts w:ascii="Arial" w:hAnsi="Arial" w:cs="Arial"/>
          <w:b/>
          <w:color w:val="FF0000"/>
        </w:rPr>
        <w:t xml:space="preserve">Assessment of the phenotypic severity of hemophilia A: using rotational thromboelastometry (ROTEM) and APTT-clot waveform analysis. Gupta et al. </w:t>
      </w:r>
      <w:r w:rsidRPr="00CB58AD">
        <w:rPr>
          <w:rFonts w:ascii="Arial" w:hAnsi="Arial" w:cs="Arial"/>
          <w:b/>
          <w:i/>
          <w:color w:val="FF0000"/>
        </w:rPr>
        <w:t>Blood Research (2024 59:19</w:t>
      </w:r>
      <w:r w:rsidRPr="00CB58AD">
        <w:rPr>
          <w:rFonts w:ascii="Arial" w:hAnsi="Arial" w:cs="Arial"/>
          <w:b/>
          <w:color w:val="FF0000"/>
        </w:rPr>
        <w:t>)</w:t>
      </w:r>
      <w:r w:rsidRPr="00CB58AD">
        <w:rPr>
          <w:rFonts w:ascii="Arial" w:hAnsi="Arial" w:cs="Arial"/>
          <w:color w:val="FF0000"/>
        </w:rPr>
        <w:t xml:space="preserve"> : </w:t>
      </w:r>
      <w:r w:rsidRPr="00CB58AD">
        <w:rPr>
          <w:rFonts w:ascii="Arial" w:hAnsi="Arial" w:cs="Arial"/>
          <w:b/>
          <w:color w:val="000000" w:themeColor="text1"/>
        </w:rPr>
        <w:t>V</w:t>
      </w:r>
      <w:r w:rsidR="00EB0C80" w:rsidRPr="00CB58AD">
        <w:rPr>
          <w:rFonts w:ascii="Arial" w:hAnsi="Arial" w:cs="Arial"/>
          <w:b/>
          <w:color w:val="000000" w:themeColor="text1"/>
        </w:rPr>
        <w:t>irginie</w:t>
      </w:r>
      <w:r w:rsidRPr="00CB58AD">
        <w:rPr>
          <w:rFonts w:ascii="Arial" w:hAnsi="Arial" w:cs="Arial"/>
          <w:b/>
          <w:color w:val="000000" w:themeColor="text1"/>
        </w:rPr>
        <w:t xml:space="preserve"> Planche</w:t>
      </w:r>
    </w:p>
    <w:p w:rsidR="00CB58AD" w:rsidRPr="00CB58AD" w:rsidRDefault="00CB58AD" w:rsidP="00CB58AD">
      <w:pPr>
        <w:pStyle w:val="Paragraphedeliste"/>
        <w:ind w:left="720"/>
        <w:rPr>
          <w:rFonts w:ascii="Arial" w:hAnsi="Arial" w:cs="Arial"/>
          <w:color w:val="FF0000"/>
        </w:rPr>
      </w:pPr>
    </w:p>
    <w:p w:rsidR="00D5122D" w:rsidRPr="00CB58AD" w:rsidRDefault="00EA790F" w:rsidP="00CB58AD">
      <w:pPr>
        <w:pStyle w:val="Paragraphedeliste"/>
        <w:ind w:left="360" w:firstLine="348"/>
        <w:jc w:val="both"/>
        <w:rPr>
          <w:rFonts w:ascii="Arial" w:hAnsi="Arial" w:cs="Arial"/>
        </w:rPr>
      </w:pPr>
      <w:r w:rsidRPr="00CB58AD">
        <w:rPr>
          <w:rFonts w:ascii="Arial" w:hAnsi="Arial" w:cs="Arial"/>
        </w:rPr>
        <w:t>L’Hémophilie A (HA) est classiquement diagnostiquée en sévère, modérée et mi</w:t>
      </w:r>
      <w:r w:rsidR="00D5122D" w:rsidRPr="00CB58AD">
        <w:rPr>
          <w:rFonts w:ascii="Arial" w:hAnsi="Arial" w:cs="Arial"/>
        </w:rPr>
        <w:t>neure selon le dosage de FVIII:C</w:t>
      </w:r>
      <w:r w:rsidRPr="00CB58AD">
        <w:rPr>
          <w:rFonts w:ascii="Arial" w:hAnsi="Arial" w:cs="Arial"/>
        </w:rPr>
        <w:t xml:space="preserve">. Cependant, la clinique n’est pas toujours corrélée au dosage, notamment pour les hémophiles sévères et modérés. Les tests globaux sont alors étudiés pour évaluer les patients HA : le TGT, l’APTT-clot waveform analysis (APTT-CWA), le ROTEM ou le TEG. </w:t>
      </w:r>
    </w:p>
    <w:p w:rsidR="00EA790F" w:rsidRPr="00CB58AD" w:rsidRDefault="00EA790F" w:rsidP="00D26888">
      <w:pPr>
        <w:pStyle w:val="Paragraphedeliste"/>
        <w:ind w:left="360"/>
        <w:jc w:val="both"/>
        <w:rPr>
          <w:rFonts w:ascii="Arial" w:hAnsi="Arial" w:cs="Arial"/>
        </w:rPr>
      </w:pPr>
      <w:r w:rsidRPr="00CB58AD">
        <w:rPr>
          <w:rFonts w:ascii="Arial" w:hAnsi="Arial" w:cs="Arial"/>
        </w:rPr>
        <w:t>L’APTT-CWA, fourni par tous les automates d’hémostase à détection optique, permet de visualiser, lors de la formation du caillot pour un TCA, une 1</w:t>
      </w:r>
      <w:r w:rsidRPr="00CB58AD">
        <w:rPr>
          <w:rFonts w:ascii="Arial" w:hAnsi="Arial" w:cs="Arial"/>
          <w:vertAlign w:val="superscript"/>
        </w:rPr>
        <w:t>ère</w:t>
      </w:r>
      <w:r w:rsidRPr="00CB58AD">
        <w:rPr>
          <w:rFonts w:ascii="Arial" w:hAnsi="Arial" w:cs="Arial"/>
        </w:rPr>
        <w:t xml:space="preserve"> dérivé</w:t>
      </w:r>
      <w:r w:rsidR="00CE2EAF" w:rsidRPr="00CB58AD">
        <w:rPr>
          <w:rFonts w:ascii="Arial" w:hAnsi="Arial" w:cs="Arial"/>
        </w:rPr>
        <w:t>e</w:t>
      </w:r>
      <w:r w:rsidRPr="00CB58AD">
        <w:rPr>
          <w:rFonts w:ascii="Arial" w:hAnsi="Arial" w:cs="Arial"/>
        </w:rPr>
        <w:t xml:space="preserve"> traduisant la vélocité du caillot (pic1) et une 2</w:t>
      </w:r>
      <w:r w:rsidRPr="00CB58AD">
        <w:rPr>
          <w:rFonts w:ascii="Arial" w:hAnsi="Arial" w:cs="Arial"/>
          <w:vertAlign w:val="superscript"/>
        </w:rPr>
        <w:t>ème</w:t>
      </w:r>
      <w:r w:rsidRPr="00CB58AD">
        <w:rPr>
          <w:rFonts w:ascii="Arial" w:hAnsi="Arial" w:cs="Arial"/>
        </w:rPr>
        <w:t xml:space="preserve"> dérivé</w:t>
      </w:r>
      <w:r w:rsidR="00377991" w:rsidRPr="00CB58AD">
        <w:rPr>
          <w:rFonts w:ascii="Arial" w:hAnsi="Arial" w:cs="Arial"/>
        </w:rPr>
        <w:t>e</w:t>
      </w:r>
      <w:r w:rsidRPr="00CB58AD">
        <w:rPr>
          <w:rFonts w:ascii="Arial" w:hAnsi="Arial" w:cs="Arial"/>
        </w:rPr>
        <w:t xml:space="preserve"> traduisant l’accélération du caillot (pic2). Le ROTEM a l’avantage d’être réalisé sur sang total, la voie INTEM peut être d’intérêt dans le suivi des patients HA.</w:t>
      </w:r>
    </w:p>
    <w:p w:rsidR="00D5122D" w:rsidRPr="00CB58AD" w:rsidRDefault="00EA790F" w:rsidP="00D26888">
      <w:pPr>
        <w:pStyle w:val="Paragraphedeliste"/>
        <w:ind w:left="360"/>
        <w:jc w:val="both"/>
        <w:rPr>
          <w:rFonts w:ascii="Arial" w:hAnsi="Arial" w:cs="Arial"/>
        </w:rPr>
      </w:pPr>
      <w:r w:rsidRPr="00CB58AD">
        <w:rPr>
          <w:rFonts w:ascii="Arial" w:hAnsi="Arial" w:cs="Arial"/>
        </w:rPr>
        <w:t>Cette étude étudie l’APTT-CWA (sur ACLTOP750) et le ROT</w:t>
      </w:r>
      <w:r w:rsidR="00D5122D" w:rsidRPr="00CB58AD">
        <w:rPr>
          <w:rFonts w:ascii="Arial" w:hAnsi="Arial" w:cs="Arial"/>
        </w:rPr>
        <w:t>EM chez 66 patients HA entre aoû</w:t>
      </w:r>
      <w:r w:rsidRPr="00CB58AD">
        <w:rPr>
          <w:rFonts w:ascii="Arial" w:hAnsi="Arial" w:cs="Arial"/>
        </w:rPr>
        <w:t>t 2018 et janvier 2020 à New Delhi : 13 mineurs, 18 modérés et 35 sévères. Les patients ont été classés en 4 groupes selon leur sévérité clinique</w:t>
      </w:r>
      <w:r w:rsidR="00D5122D" w:rsidRPr="00CB58AD">
        <w:rPr>
          <w:rFonts w:ascii="Arial" w:hAnsi="Arial" w:cs="Arial"/>
        </w:rPr>
        <w:t> :</w:t>
      </w:r>
    </w:p>
    <w:p w:rsidR="00D5122D" w:rsidRPr="00CB58AD" w:rsidRDefault="00EA790F" w:rsidP="00D26888">
      <w:pPr>
        <w:pStyle w:val="Paragraphedeliste"/>
        <w:numPr>
          <w:ilvl w:val="0"/>
          <w:numId w:val="6"/>
        </w:numPr>
        <w:jc w:val="both"/>
        <w:rPr>
          <w:rFonts w:ascii="Arial" w:hAnsi="Arial" w:cs="Arial"/>
        </w:rPr>
      </w:pPr>
      <w:r w:rsidRPr="00CB58AD">
        <w:rPr>
          <w:rFonts w:ascii="Arial" w:hAnsi="Arial" w:cs="Arial"/>
        </w:rPr>
        <w:t xml:space="preserve">Groupe I : FVIII &gt; 1%, </w:t>
      </w:r>
      <w:r w:rsidR="00D5122D" w:rsidRPr="00CB58AD">
        <w:rPr>
          <w:rFonts w:ascii="Arial" w:hAnsi="Arial" w:cs="Arial"/>
        </w:rPr>
        <w:t>non sévère cliniquement (n=25)</w:t>
      </w:r>
    </w:p>
    <w:p w:rsidR="00D5122D" w:rsidRPr="00CB58AD" w:rsidRDefault="00EA790F" w:rsidP="00D26888">
      <w:pPr>
        <w:pStyle w:val="Paragraphedeliste"/>
        <w:numPr>
          <w:ilvl w:val="0"/>
          <w:numId w:val="6"/>
        </w:numPr>
        <w:jc w:val="both"/>
        <w:rPr>
          <w:rFonts w:ascii="Arial" w:hAnsi="Arial" w:cs="Arial"/>
        </w:rPr>
      </w:pPr>
      <w:r w:rsidRPr="00CB58AD">
        <w:rPr>
          <w:rFonts w:ascii="Arial" w:hAnsi="Arial" w:cs="Arial"/>
        </w:rPr>
        <w:t>Groupe II : FVIII &gt;</w:t>
      </w:r>
      <w:r w:rsidR="00D5122D" w:rsidRPr="00CB58AD">
        <w:rPr>
          <w:rFonts w:ascii="Arial" w:hAnsi="Arial" w:cs="Arial"/>
        </w:rPr>
        <w:t xml:space="preserve"> 1% (n=6), sévère cliniquement</w:t>
      </w:r>
    </w:p>
    <w:p w:rsidR="00D5122D" w:rsidRPr="00CB58AD" w:rsidRDefault="00EA790F" w:rsidP="00D26888">
      <w:pPr>
        <w:pStyle w:val="Paragraphedeliste"/>
        <w:numPr>
          <w:ilvl w:val="0"/>
          <w:numId w:val="6"/>
        </w:numPr>
        <w:jc w:val="both"/>
        <w:rPr>
          <w:rFonts w:ascii="Arial" w:hAnsi="Arial" w:cs="Arial"/>
        </w:rPr>
      </w:pPr>
      <w:r w:rsidRPr="00CB58AD">
        <w:rPr>
          <w:rFonts w:ascii="Arial" w:hAnsi="Arial" w:cs="Arial"/>
        </w:rPr>
        <w:t>Groupe III : FVIII</w:t>
      </w:r>
      <w:r w:rsidR="00D5122D" w:rsidRPr="00CB58AD">
        <w:rPr>
          <w:rFonts w:ascii="Arial" w:hAnsi="Arial" w:cs="Arial"/>
        </w:rPr>
        <w:t xml:space="preserve"> &lt; 1% (n=14), avec inhibiteur </w:t>
      </w:r>
    </w:p>
    <w:p w:rsidR="00EA790F" w:rsidRPr="00CB58AD" w:rsidRDefault="00EA790F" w:rsidP="00D26888">
      <w:pPr>
        <w:pStyle w:val="Paragraphedeliste"/>
        <w:numPr>
          <w:ilvl w:val="0"/>
          <w:numId w:val="6"/>
        </w:numPr>
        <w:jc w:val="both"/>
        <w:rPr>
          <w:rFonts w:ascii="Arial" w:hAnsi="Arial" w:cs="Arial"/>
        </w:rPr>
      </w:pPr>
      <w:r w:rsidRPr="00CB58AD">
        <w:rPr>
          <w:rFonts w:ascii="Arial" w:hAnsi="Arial" w:cs="Arial"/>
        </w:rPr>
        <w:t xml:space="preserve"> Groupe IV : FVIII &lt; 1%, sans inhibiteur (n=21).</w:t>
      </w:r>
    </w:p>
    <w:p w:rsidR="00EA790F" w:rsidRPr="00CB58AD" w:rsidRDefault="00EA790F" w:rsidP="00D26888">
      <w:pPr>
        <w:ind w:left="360"/>
        <w:jc w:val="both"/>
        <w:rPr>
          <w:rFonts w:ascii="Arial" w:hAnsi="Arial" w:cs="Arial"/>
        </w:rPr>
      </w:pPr>
      <w:r w:rsidRPr="00CB58AD">
        <w:rPr>
          <w:rFonts w:ascii="Arial" w:hAnsi="Arial" w:cs="Arial"/>
          <w:u w:val="single"/>
        </w:rPr>
        <w:t>Si on regarde l’APTT-CWA</w:t>
      </w:r>
      <w:r w:rsidRPr="00CB58AD">
        <w:rPr>
          <w:rFonts w:ascii="Arial" w:hAnsi="Arial" w:cs="Arial"/>
        </w:rPr>
        <w:t>, les HA sévères ont un pic</w:t>
      </w:r>
      <w:r w:rsidR="00D5122D" w:rsidRPr="00CB58AD">
        <w:rPr>
          <w:rFonts w:ascii="Arial" w:hAnsi="Arial" w:cs="Arial"/>
        </w:rPr>
        <w:t xml:space="preserve"> </w:t>
      </w:r>
      <w:r w:rsidRPr="00CB58AD">
        <w:rPr>
          <w:rFonts w:ascii="Arial" w:hAnsi="Arial" w:cs="Arial"/>
        </w:rPr>
        <w:t>1</w:t>
      </w:r>
      <w:r w:rsidR="00D5122D" w:rsidRPr="00CB58AD">
        <w:rPr>
          <w:rFonts w:ascii="Arial" w:hAnsi="Arial" w:cs="Arial"/>
        </w:rPr>
        <w:t xml:space="preserve"> et </w:t>
      </w:r>
      <w:r w:rsidRPr="00CB58AD">
        <w:rPr>
          <w:rFonts w:ascii="Arial" w:hAnsi="Arial" w:cs="Arial"/>
        </w:rPr>
        <w:t xml:space="preserve">2 </w:t>
      </w:r>
      <w:r w:rsidR="00377991" w:rsidRPr="00CB58AD">
        <w:rPr>
          <w:rFonts w:ascii="Arial" w:hAnsi="Arial" w:cs="Arial"/>
        </w:rPr>
        <w:t xml:space="preserve">significativement </w:t>
      </w:r>
      <w:r w:rsidRPr="00CB58AD">
        <w:rPr>
          <w:rFonts w:ascii="Arial" w:hAnsi="Arial" w:cs="Arial"/>
        </w:rPr>
        <w:t>plus petit chez les hémophiles non sévères (</w:t>
      </w:r>
      <w:r w:rsidRPr="00CB58AD">
        <w:rPr>
          <w:rFonts w:ascii="Arial" w:hAnsi="Arial" w:cs="Arial"/>
          <w:i/>
        </w:rPr>
        <w:t>p&lt;0.0001</w:t>
      </w:r>
      <w:r w:rsidRPr="00CB58AD">
        <w:rPr>
          <w:rFonts w:ascii="Arial" w:hAnsi="Arial" w:cs="Arial"/>
        </w:rPr>
        <w:t xml:space="preserve">). Le groupe I montre une différence significative avec tous les autres groupes et donc avec le groupe II permettant de distinguer les patients HA avec FVIII&gt;1% mais sévères cliniquement. Le groupe II a ainsi des valeurs très proches de patients HA &lt; 1% sans inhibiteurs. Aucune différence n’est observée selon la présence </w:t>
      </w:r>
      <w:r w:rsidR="00D5122D" w:rsidRPr="00CB58AD">
        <w:rPr>
          <w:rFonts w:ascii="Arial" w:hAnsi="Arial" w:cs="Arial"/>
        </w:rPr>
        <w:t xml:space="preserve">ou non </w:t>
      </w:r>
      <w:r w:rsidRPr="00CB58AD">
        <w:rPr>
          <w:rFonts w:ascii="Arial" w:hAnsi="Arial" w:cs="Arial"/>
        </w:rPr>
        <w:t>d’Ac anti-FVIII.</w:t>
      </w:r>
    </w:p>
    <w:p w:rsidR="00EA790F" w:rsidRPr="00CB58AD" w:rsidRDefault="00EA790F" w:rsidP="00D26888">
      <w:pPr>
        <w:pStyle w:val="Paragraphedeliste"/>
        <w:ind w:left="360"/>
        <w:jc w:val="both"/>
        <w:rPr>
          <w:rFonts w:ascii="Arial" w:hAnsi="Arial" w:cs="Arial"/>
        </w:rPr>
      </w:pPr>
      <w:r w:rsidRPr="00CB58AD">
        <w:rPr>
          <w:rFonts w:ascii="Arial" w:hAnsi="Arial" w:cs="Arial"/>
          <w:u w:val="single"/>
        </w:rPr>
        <w:t>Si on regarde le ROTEM-INTEM</w:t>
      </w:r>
      <w:r w:rsidRPr="00CB58AD">
        <w:rPr>
          <w:rFonts w:ascii="Arial" w:hAnsi="Arial" w:cs="Arial"/>
        </w:rPr>
        <w:t>, tous les paramètres sont significativement différents entre patients HA sévères et HA non s</w:t>
      </w:r>
      <w:r w:rsidR="00D5122D" w:rsidRPr="00CB58AD">
        <w:rPr>
          <w:rFonts w:ascii="Arial" w:hAnsi="Arial" w:cs="Arial"/>
        </w:rPr>
        <w:t>évères. Le CT, le CFT et l’angle</w:t>
      </w:r>
      <w:r w:rsidRPr="00CB58AD">
        <w:rPr>
          <w:rFonts w:ascii="Arial" w:hAnsi="Arial" w:cs="Arial"/>
        </w:rPr>
        <w:t xml:space="preserve"> a sont les paramètres les plus discriminants. Pour les patients HA &gt; 1%, seul le CT permet de distinguer ceux avec une clinique plus sévère. Ces derniers ont un tracé très comparable aux patients HA &lt; 1% sans inhibiteur. Pour les patients HA sévères avec inhibiteur, tous les paramètres sont statistiquement différents : CT et CFT plus allongés, angle a</w:t>
      </w:r>
      <w:r w:rsidR="004C6739" w:rsidRPr="00CB58AD">
        <w:rPr>
          <w:rFonts w:ascii="Arial" w:hAnsi="Arial" w:cs="Arial"/>
        </w:rPr>
        <w:t xml:space="preserve"> </w:t>
      </w:r>
      <w:r w:rsidRPr="00CB58AD">
        <w:rPr>
          <w:rFonts w:ascii="Arial" w:hAnsi="Arial" w:cs="Arial"/>
        </w:rPr>
        <w:t>et amplitude et MCF plus petits.</w:t>
      </w:r>
    </w:p>
    <w:p w:rsidR="002A21A0" w:rsidRPr="00CB58AD" w:rsidRDefault="00EA790F" w:rsidP="00D26888">
      <w:pPr>
        <w:pStyle w:val="Paragraphedeliste"/>
        <w:ind w:left="360"/>
        <w:jc w:val="both"/>
        <w:rPr>
          <w:rFonts w:ascii="Arial" w:hAnsi="Arial" w:cs="Arial"/>
        </w:rPr>
      </w:pPr>
      <w:r w:rsidRPr="00CB58AD">
        <w:rPr>
          <w:rFonts w:ascii="Arial" w:hAnsi="Arial" w:cs="Arial"/>
        </w:rPr>
        <w:t xml:space="preserve">Ces 2 tests globaux ont leur intérêt </w:t>
      </w:r>
      <w:r w:rsidR="004C6739" w:rsidRPr="00CB58AD">
        <w:rPr>
          <w:rFonts w:ascii="Arial" w:hAnsi="Arial" w:cs="Arial"/>
        </w:rPr>
        <w:t>pour le diagnostic et le</w:t>
      </w:r>
      <w:r w:rsidRPr="00CB58AD">
        <w:rPr>
          <w:rFonts w:ascii="Arial" w:hAnsi="Arial" w:cs="Arial"/>
        </w:rPr>
        <w:t xml:space="preserve"> suivi de patients HA. Le ROTEM permet de distinguer les patients HA sévères avec</w:t>
      </w:r>
      <w:r w:rsidR="004C6739" w:rsidRPr="00CB58AD">
        <w:rPr>
          <w:rFonts w:ascii="Arial" w:hAnsi="Arial" w:cs="Arial"/>
        </w:rPr>
        <w:t xml:space="preserve"> et sans inhibiteur. Il</w:t>
      </w:r>
      <w:r w:rsidRPr="00CB58AD">
        <w:rPr>
          <w:rFonts w:ascii="Arial" w:hAnsi="Arial" w:cs="Arial"/>
        </w:rPr>
        <w:t xml:space="preserve"> peut être utilisé comme déjà décrit dans la littérature pour le suivi des patients sous Emicizumab et peut être intéressant dans des </w:t>
      </w:r>
      <w:r w:rsidR="004C6739" w:rsidRPr="00CB58AD">
        <w:rPr>
          <w:rFonts w:ascii="Arial" w:hAnsi="Arial" w:cs="Arial"/>
        </w:rPr>
        <w:t>laboratoires</w:t>
      </w:r>
      <w:r w:rsidRPr="00CB58AD">
        <w:rPr>
          <w:rFonts w:ascii="Arial" w:hAnsi="Arial" w:cs="Arial"/>
        </w:rPr>
        <w:t xml:space="preserve"> à plus faibles </w:t>
      </w:r>
      <w:r w:rsidRPr="00CB58AD">
        <w:rPr>
          <w:rFonts w:ascii="Arial" w:hAnsi="Arial" w:cs="Arial"/>
        </w:rPr>
        <w:lastRenderedPageBreak/>
        <w:t>ressources où le FVIII par technique chromogénique ou la recherche d’anti-FVIII n’est pas disponible facilement.</w:t>
      </w:r>
    </w:p>
    <w:p w:rsidR="002A21A0" w:rsidRPr="00CB58AD" w:rsidRDefault="002A21A0" w:rsidP="002A21A0">
      <w:pPr>
        <w:pStyle w:val="Paragraphedeliste"/>
        <w:ind w:left="360"/>
        <w:jc w:val="both"/>
        <w:rPr>
          <w:rFonts w:ascii="Arial" w:hAnsi="Arial" w:cs="Arial"/>
        </w:rPr>
      </w:pPr>
    </w:p>
    <w:p w:rsidR="00313E35" w:rsidRPr="00CB58AD" w:rsidRDefault="00313E35" w:rsidP="002A21A0">
      <w:pPr>
        <w:pStyle w:val="Paragraphedeliste"/>
        <w:ind w:left="360"/>
        <w:jc w:val="both"/>
        <w:rPr>
          <w:rFonts w:ascii="Arial" w:hAnsi="Arial" w:cs="Arial"/>
        </w:rPr>
      </w:pPr>
    </w:p>
    <w:p w:rsidR="002A21A0" w:rsidRPr="00CB58AD" w:rsidRDefault="002A21A0" w:rsidP="00EB0C80">
      <w:pPr>
        <w:pStyle w:val="Paragraphedeliste"/>
        <w:numPr>
          <w:ilvl w:val="0"/>
          <w:numId w:val="7"/>
        </w:numPr>
        <w:jc w:val="both"/>
        <w:rPr>
          <w:rFonts w:ascii="Arial" w:hAnsi="Arial" w:cs="Arial"/>
          <w:b/>
        </w:rPr>
      </w:pPr>
      <w:r w:rsidRPr="00CB58AD">
        <w:rPr>
          <w:rFonts w:ascii="Arial" w:hAnsi="Arial" w:cs="Arial"/>
          <w:b/>
          <w:color w:val="FF0000"/>
        </w:rPr>
        <w:t>Jardim LL, Schieber TA, Santana MP et al. Prediction of inhibitor development in previously untreated and minimally treated children with severe and moderately severe hemophilia A using a machine-learning network. J Thromb Haemost. 2024;22(9):2426-37.</w:t>
      </w:r>
      <w:r w:rsidR="00377991" w:rsidRPr="00CB58AD">
        <w:rPr>
          <w:rFonts w:ascii="Arial" w:hAnsi="Arial" w:cs="Arial"/>
          <w:b/>
          <w:color w:val="FF0000"/>
        </w:rPr>
        <w:t xml:space="preserve"> </w:t>
      </w:r>
      <w:r w:rsidR="00EB0C80" w:rsidRPr="00CB58AD">
        <w:rPr>
          <w:rFonts w:ascii="Arial" w:hAnsi="Arial" w:cs="Arial"/>
          <w:b/>
        </w:rPr>
        <w:t>Sandrine Lemoine</w:t>
      </w:r>
    </w:p>
    <w:p w:rsidR="00FD0A11" w:rsidRPr="00CB58AD" w:rsidRDefault="00FD0A11" w:rsidP="00FD0A11">
      <w:pPr>
        <w:pStyle w:val="Paragraphedeliste"/>
        <w:ind w:left="720"/>
        <w:jc w:val="both"/>
        <w:rPr>
          <w:rFonts w:ascii="Arial" w:hAnsi="Arial" w:cs="Arial"/>
          <w:b/>
          <w:color w:val="17365D" w:themeColor="text2" w:themeShade="BF"/>
        </w:rPr>
      </w:pPr>
    </w:p>
    <w:p w:rsidR="002A21A0" w:rsidRPr="00CB58AD" w:rsidRDefault="002A21A0" w:rsidP="00D26888">
      <w:pPr>
        <w:ind w:left="360" w:firstLine="348"/>
        <w:jc w:val="both"/>
        <w:rPr>
          <w:rFonts w:ascii="Arial" w:hAnsi="Arial" w:cs="Arial"/>
          <w:bCs/>
        </w:rPr>
      </w:pPr>
      <w:r w:rsidRPr="00CB58AD">
        <w:rPr>
          <w:rFonts w:ascii="Arial" w:hAnsi="Arial" w:cs="Arial"/>
          <w:bCs/>
        </w:rPr>
        <w:t xml:space="preserve">Il est </w:t>
      </w:r>
      <w:r w:rsidR="00D26888" w:rsidRPr="00CB58AD">
        <w:rPr>
          <w:rFonts w:ascii="Arial" w:hAnsi="Arial" w:cs="Arial"/>
          <w:bCs/>
        </w:rPr>
        <w:t>difficile</w:t>
      </w:r>
      <w:r w:rsidRPr="00CB58AD">
        <w:rPr>
          <w:rFonts w:ascii="Arial" w:hAnsi="Arial" w:cs="Arial"/>
          <w:bCs/>
        </w:rPr>
        <w:t xml:space="preserve"> de prédire la survenue d’un inhibiteur chez un hémophile A (HA).</w:t>
      </w:r>
      <w:r w:rsidR="00D26888" w:rsidRPr="00CB58AD">
        <w:rPr>
          <w:rFonts w:ascii="Arial" w:hAnsi="Arial" w:cs="Arial"/>
          <w:bCs/>
        </w:rPr>
        <w:t xml:space="preserve"> </w:t>
      </w:r>
      <w:r w:rsidRPr="00CB58AD">
        <w:rPr>
          <w:rFonts w:ascii="Arial" w:hAnsi="Arial" w:cs="Arial"/>
        </w:rPr>
        <w:t>L’objectif de cette étude était de construire un modèle prédictif (Network Node Dispersion) de développement d'inhibiteur à l'aide de variables cliniques et de biomarqueurs basés sur un réseau de similarité individuelle, à partir d’une cohorte d’enfants HA sévères ou modérés.</w:t>
      </w:r>
    </w:p>
    <w:p w:rsidR="002A21A0" w:rsidRPr="00CB58AD" w:rsidRDefault="002A21A0" w:rsidP="00FD0A11">
      <w:pPr>
        <w:ind w:left="360"/>
        <w:jc w:val="both"/>
        <w:rPr>
          <w:rFonts w:ascii="Arial" w:hAnsi="Arial" w:cs="Arial"/>
        </w:rPr>
      </w:pPr>
      <w:r w:rsidRPr="00CB58AD">
        <w:rPr>
          <w:rFonts w:ascii="Arial" w:hAnsi="Arial" w:cs="Arial"/>
          <w:b/>
        </w:rPr>
        <w:t>Méthodologie :</w:t>
      </w:r>
      <w:r w:rsidRPr="00CB58AD">
        <w:rPr>
          <w:rFonts w:ascii="Arial" w:hAnsi="Arial" w:cs="Arial"/>
        </w:rPr>
        <w:t xml:space="preserve"> Les enfants inclus dans cette cohorte prospective </w:t>
      </w:r>
      <w:r w:rsidR="00313E35" w:rsidRPr="00CB58AD">
        <w:rPr>
          <w:rFonts w:ascii="Arial" w:hAnsi="Arial" w:cs="Arial"/>
        </w:rPr>
        <w:t>brésilienne</w:t>
      </w:r>
      <w:r w:rsidRPr="00CB58AD">
        <w:rPr>
          <w:rFonts w:ascii="Arial" w:hAnsi="Arial" w:cs="Arial"/>
        </w:rPr>
        <w:t xml:space="preserve"> (HEMFIL) présentaient une hémophilie A (HA</w:t>
      </w:r>
      <w:r w:rsidR="00FD0A11" w:rsidRPr="00CB58AD">
        <w:rPr>
          <w:rFonts w:ascii="Arial" w:hAnsi="Arial" w:cs="Arial"/>
        </w:rPr>
        <w:t xml:space="preserve">) avec un </w:t>
      </w:r>
      <w:r w:rsidRPr="00CB58AD">
        <w:rPr>
          <w:rFonts w:ascii="Arial" w:hAnsi="Arial" w:cs="Arial"/>
        </w:rPr>
        <w:t>FVIII</w:t>
      </w:r>
      <w:r w:rsidR="00FD0A11" w:rsidRPr="00CB58AD">
        <w:rPr>
          <w:rFonts w:ascii="Arial" w:hAnsi="Arial" w:cs="Arial"/>
        </w:rPr>
        <w:t xml:space="preserve"> &lt;2% et n’avaient</w:t>
      </w:r>
      <w:r w:rsidRPr="00CB58AD">
        <w:rPr>
          <w:rFonts w:ascii="Arial" w:hAnsi="Arial" w:cs="Arial"/>
        </w:rPr>
        <w:t xml:space="preserve"> jamais été exposés au FVIII </w:t>
      </w:r>
      <w:r w:rsidR="00FD0A11" w:rsidRPr="00CB58AD">
        <w:rPr>
          <w:rFonts w:ascii="Arial" w:hAnsi="Arial" w:cs="Arial"/>
        </w:rPr>
        <w:t>ou alors</w:t>
      </w:r>
      <w:r w:rsidRPr="00CB58AD">
        <w:rPr>
          <w:rFonts w:ascii="Arial" w:hAnsi="Arial" w:cs="Arial"/>
        </w:rPr>
        <w:t xml:space="preserve"> faiblement (&lt;5</w:t>
      </w:r>
      <w:r w:rsidR="00FD0A11" w:rsidRPr="00CB58AD">
        <w:rPr>
          <w:rFonts w:ascii="Arial" w:hAnsi="Arial" w:cs="Arial"/>
        </w:rPr>
        <w:t xml:space="preserve"> </w:t>
      </w:r>
      <w:r w:rsidRPr="00CB58AD">
        <w:rPr>
          <w:rFonts w:ascii="Arial" w:hAnsi="Arial" w:cs="Arial"/>
        </w:rPr>
        <w:t>JCPA). A l’inclusion (T0), les données cliniques étaient recueillies et les analyses biologiques effectuées (immunophénotypage, dosages de cytokines, microparticules…) avant exposition aux concentrés de FVIII. L’algorithme utilisé comportait 37 variables, permettant l’identification de modèle de r</w:t>
      </w:r>
      <w:r w:rsidR="00377991" w:rsidRPr="00CB58AD">
        <w:rPr>
          <w:rFonts w:ascii="Arial" w:hAnsi="Arial" w:cs="Arial"/>
        </w:rPr>
        <w:t>é</w:t>
      </w:r>
      <w:r w:rsidRPr="00CB58AD">
        <w:rPr>
          <w:rFonts w:ascii="Arial" w:hAnsi="Arial" w:cs="Arial"/>
        </w:rPr>
        <w:t xml:space="preserve">seaux distincts à l’inclusion (T0) les enfants HA développant un inhibiteur (INH+) et ceux qui n’en développaient pas (INH-). </w:t>
      </w:r>
    </w:p>
    <w:p w:rsidR="002A21A0" w:rsidRPr="00CB58AD" w:rsidRDefault="002A21A0" w:rsidP="00FD0A11">
      <w:pPr>
        <w:ind w:left="360"/>
        <w:jc w:val="both"/>
        <w:rPr>
          <w:rFonts w:ascii="Arial" w:hAnsi="Arial" w:cs="Arial"/>
        </w:rPr>
      </w:pPr>
      <w:r w:rsidRPr="00CB58AD">
        <w:rPr>
          <w:rFonts w:ascii="Arial" w:hAnsi="Arial" w:cs="Arial"/>
        </w:rPr>
        <w:t>Les enfant</w:t>
      </w:r>
      <w:r w:rsidRPr="00CB58AD">
        <w:rPr>
          <w:rFonts w:ascii="Arial" w:hAnsi="Arial" w:cs="Arial"/>
          <w:bCs/>
        </w:rPr>
        <w:t>s étaient suivis jusqu’à 75JCPA ou jusqu’à la survenue d’inhibiteur. La recherche d’inhibiteur anti-FVIII était effectuée au diagnostic puis tous 5-10 JCPA jusqu’au 75</w:t>
      </w:r>
      <w:r w:rsidRPr="00CB58AD">
        <w:rPr>
          <w:rFonts w:ascii="Arial" w:hAnsi="Arial" w:cs="Arial"/>
          <w:bCs/>
          <w:vertAlign w:val="superscript"/>
        </w:rPr>
        <w:t>ème</w:t>
      </w:r>
      <w:r w:rsidRPr="00CB58AD">
        <w:rPr>
          <w:rFonts w:ascii="Arial" w:hAnsi="Arial" w:cs="Arial"/>
          <w:bCs/>
        </w:rPr>
        <w:t xml:space="preserve">. </w:t>
      </w:r>
      <w:r w:rsidRPr="00CB58AD">
        <w:rPr>
          <w:rFonts w:ascii="Arial" w:hAnsi="Arial" w:cs="Arial"/>
        </w:rPr>
        <w:t>La méthodologie reposait sur un modèle d’apprentissage non supervisé (« </w:t>
      </w:r>
      <w:r w:rsidRPr="00CB58AD">
        <w:rPr>
          <w:rFonts w:ascii="Arial" w:hAnsi="Arial" w:cs="Arial"/>
          <w:i/>
        </w:rPr>
        <w:t>machine learning </w:t>
      </w:r>
      <w:r w:rsidRPr="00CB58AD">
        <w:rPr>
          <w:rFonts w:ascii="Arial" w:hAnsi="Arial" w:cs="Arial"/>
        </w:rPr>
        <w:t>») qui permettait d’identifier/structurer des clusters en fonction de différentes variables, dans le but de prédire la survenue d’inhibiteur à partir de plusieurs variables.</w:t>
      </w:r>
    </w:p>
    <w:p w:rsidR="002A21A0" w:rsidRPr="00CB58AD" w:rsidRDefault="002A21A0" w:rsidP="00FD0A11">
      <w:pPr>
        <w:ind w:left="360"/>
        <w:jc w:val="both"/>
        <w:rPr>
          <w:rFonts w:ascii="Arial" w:hAnsi="Arial" w:cs="Arial"/>
          <w:bCs/>
        </w:rPr>
      </w:pPr>
      <w:r w:rsidRPr="00CB58AD">
        <w:rPr>
          <w:rFonts w:ascii="Arial" w:hAnsi="Arial" w:cs="Arial"/>
          <w:bCs/>
        </w:rPr>
        <w:t xml:space="preserve">Par ailleurs, dans une seconde analyse, les enfants étaient classés en deux groupes en fonction des mutations sur le gène codant le FVIII : “High-risk” and “Low-risk” de survenue </w:t>
      </w:r>
      <w:r w:rsidR="00313E35" w:rsidRPr="00CB58AD">
        <w:rPr>
          <w:rFonts w:ascii="Arial" w:hAnsi="Arial" w:cs="Arial"/>
          <w:bCs/>
        </w:rPr>
        <w:t>d’inhibiteur</w:t>
      </w:r>
      <w:r w:rsidRPr="00CB58AD">
        <w:rPr>
          <w:rFonts w:ascii="Arial" w:hAnsi="Arial" w:cs="Arial"/>
          <w:bCs/>
        </w:rPr>
        <w:t>.</w:t>
      </w:r>
    </w:p>
    <w:p w:rsidR="002A21A0" w:rsidRPr="00CB58AD" w:rsidRDefault="002A21A0" w:rsidP="00FD0A11">
      <w:pPr>
        <w:ind w:left="360"/>
        <w:jc w:val="both"/>
        <w:rPr>
          <w:rFonts w:ascii="Arial" w:hAnsi="Arial" w:cs="Arial"/>
          <w:bCs/>
        </w:rPr>
      </w:pPr>
      <w:r w:rsidRPr="00CB58AD">
        <w:rPr>
          <w:rFonts w:ascii="Arial" w:hAnsi="Arial" w:cs="Arial"/>
          <w:b/>
          <w:bCs/>
        </w:rPr>
        <w:t>Résultats </w:t>
      </w:r>
      <w:r w:rsidRPr="00CB58AD">
        <w:rPr>
          <w:rFonts w:ascii="Arial" w:hAnsi="Arial" w:cs="Arial"/>
          <w:bCs/>
        </w:rPr>
        <w:t xml:space="preserve">: Dans cette étude prospective, 95 enfants (âge médian : 10 mois (6 - 15) hémophiles A sévères et dit modérément sévères (FVIII&lt;2%) ont été inclus, 31 (33%) ont développé un inhibiteur. L'algorithme a permis d’identifier des modèles de réseaux distincts à T0 pour les INH+ et les </w:t>
      </w:r>
      <w:r w:rsidR="00FD0A11" w:rsidRPr="00CB58AD">
        <w:rPr>
          <w:rFonts w:ascii="Arial" w:hAnsi="Arial" w:cs="Arial"/>
          <w:bCs/>
        </w:rPr>
        <w:t>INH-.</w:t>
      </w:r>
      <w:r w:rsidRPr="00CB58AD">
        <w:rPr>
          <w:rFonts w:ascii="Arial" w:hAnsi="Arial" w:cs="Arial"/>
          <w:bCs/>
        </w:rPr>
        <w:t xml:space="preserve"> La précision du modèle était de 74,2 % pour les INH+ et de 98,4 % pour les INH-. En concentrant l'analyse sur les hémophiles A présentant des</w:t>
      </w:r>
      <w:r w:rsidR="00313E35" w:rsidRPr="00CB58AD">
        <w:rPr>
          <w:rFonts w:ascii="Arial" w:hAnsi="Arial" w:cs="Arial"/>
          <w:bCs/>
        </w:rPr>
        <w:t xml:space="preserve"> </w:t>
      </w:r>
      <w:r w:rsidRPr="00CB58AD">
        <w:rPr>
          <w:rFonts w:ascii="Arial" w:hAnsi="Arial" w:cs="Arial"/>
          <w:bCs/>
        </w:rPr>
        <w:t>mutations du FVIII à haut risque de développer un inhibiteur, la précision de l'identification des INH+ est passée à 82,1 %.</w:t>
      </w:r>
    </w:p>
    <w:p w:rsidR="002A21A0" w:rsidRPr="00CB58AD" w:rsidRDefault="002A21A0" w:rsidP="00FD0A11">
      <w:pPr>
        <w:ind w:left="360"/>
        <w:jc w:val="both"/>
        <w:rPr>
          <w:rFonts w:ascii="Arial" w:hAnsi="Arial" w:cs="Arial"/>
          <w:bCs/>
        </w:rPr>
      </w:pPr>
      <w:r w:rsidRPr="00CB58AD">
        <w:rPr>
          <w:rFonts w:ascii="Arial" w:hAnsi="Arial" w:cs="Arial"/>
          <w:b/>
          <w:bCs/>
        </w:rPr>
        <w:t>En conclusion</w:t>
      </w:r>
      <w:r w:rsidRPr="00CB58AD">
        <w:rPr>
          <w:rFonts w:ascii="Arial" w:hAnsi="Arial" w:cs="Arial"/>
          <w:bCs/>
        </w:rPr>
        <w:t xml:space="preserve">, l’algorithme d'apprentissage proposé dans cette étude montre une précision globale de 90,5 % pour la prédiction de survenue d'inhibiteurs, la précision est majorée en restreignant l'analyse aux HA avec mutation du FVIII à haut risque. </w:t>
      </w:r>
    </w:p>
    <w:p w:rsidR="002A21A0" w:rsidRPr="00CB58AD" w:rsidRDefault="002A21A0" w:rsidP="00FD0A11">
      <w:pPr>
        <w:ind w:left="360"/>
        <w:jc w:val="both"/>
        <w:rPr>
          <w:rFonts w:ascii="Arial" w:hAnsi="Arial" w:cs="Arial"/>
          <w:bCs/>
        </w:rPr>
      </w:pPr>
      <w:r w:rsidRPr="00CB58AD">
        <w:rPr>
          <w:rFonts w:ascii="Arial" w:hAnsi="Arial" w:cs="Arial"/>
          <w:bCs/>
        </w:rPr>
        <w:t xml:space="preserve">Cependant, cette étude comporte quelques limites :  20% des enfants avaient reçus des concentrés de FVIII avant l’inclusion, l’immunophénotypage n’avait pas été réalisé chez tous les enfants inclus, et la taille de la cohorte bien que significative peut être un point limite dans ce type de modèle. </w:t>
      </w:r>
    </w:p>
    <w:p w:rsidR="00313E35" w:rsidRPr="00CB58AD" w:rsidRDefault="002A21A0" w:rsidP="00CB58AD">
      <w:pPr>
        <w:ind w:left="360"/>
        <w:jc w:val="both"/>
        <w:rPr>
          <w:rFonts w:ascii="Arial" w:hAnsi="Arial" w:cs="Arial"/>
          <w:bCs/>
        </w:rPr>
      </w:pPr>
      <w:r w:rsidRPr="00CB58AD">
        <w:rPr>
          <w:rFonts w:ascii="Arial" w:hAnsi="Arial" w:cs="Arial"/>
          <w:bCs/>
        </w:rPr>
        <w:t xml:space="preserve">Même si ces résultats devront être validés sur d’autres cohortes d’hémophiles A, il </w:t>
      </w:r>
      <w:r w:rsidR="00D26888" w:rsidRPr="00CB58AD">
        <w:rPr>
          <w:rFonts w:ascii="Arial" w:hAnsi="Arial" w:cs="Arial"/>
          <w:bCs/>
        </w:rPr>
        <w:t xml:space="preserve">pourrait s’agir d’un </w:t>
      </w:r>
      <w:r w:rsidRPr="00CB58AD">
        <w:rPr>
          <w:rFonts w:ascii="Arial" w:hAnsi="Arial" w:cs="Arial"/>
          <w:bCs/>
        </w:rPr>
        <w:t>outil prometteur pour comprendre les interactions moléculaires notamment et identifier des stratégies thérapeutiques optimales/personnalisées.</w:t>
      </w:r>
    </w:p>
    <w:p w:rsidR="00EA790F" w:rsidRPr="00CB58AD" w:rsidRDefault="00EA790F" w:rsidP="004C6739">
      <w:pPr>
        <w:autoSpaceDE w:val="0"/>
        <w:autoSpaceDN w:val="0"/>
        <w:adjustRightInd w:val="0"/>
        <w:jc w:val="both"/>
        <w:rPr>
          <w:rFonts w:ascii="Arial" w:hAnsi="Arial" w:cs="Arial"/>
          <w:color w:val="000000" w:themeColor="text1"/>
        </w:rPr>
      </w:pPr>
    </w:p>
    <w:p w:rsidR="008D13E6" w:rsidRPr="00CB58AD" w:rsidRDefault="008D13E6" w:rsidP="00D5122D">
      <w:pPr>
        <w:pStyle w:val="Paragraphedeliste"/>
        <w:numPr>
          <w:ilvl w:val="0"/>
          <w:numId w:val="5"/>
        </w:numPr>
        <w:autoSpaceDE w:val="0"/>
        <w:autoSpaceDN w:val="0"/>
        <w:adjustRightInd w:val="0"/>
        <w:jc w:val="both"/>
        <w:rPr>
          <w:rFonts w:ascii="Arial" w:hAnsi="Arial" w:cs="Arial"/>
          <w:color w:val="000000" w:themeColor="text1"/>
          <w:sz w:val="28"/>
          <w:szCs w:val="28"/>
        </w:rPr>
      </w:pPr>
      <w:r w:rsidRPr="00CB58AD">
        <w:rPr>
          <w:rFonts w:ascii="Arial" w:hAnsi="Arial" w:cs="Arial"/>
          <w:b/>
          <w:color w:val="FF0000"/>
          <w:sz w:val="28"/>
          <w:szCs w:val="28"/>
        </w:rPr>
        <w:lastRenderedPageBreak/>
        <w:t xml:space="preserve">Mise au point pour la recherche d’ADA chez le patient sous Emicizumab : </w:t>
      </w:r>
      <w:r w:rsidRPr="00CB58AD">
        <w:rPr>
          <w:rFonts w:ascii="Arial" w:hAnsi="Arial" w:cs="Arial"/>
          <w:b/>
          <w:color w:val="000000" w:themeColor="text1"/>
          <w:sz w:val="28"/>
          <w:szCs w:val="28"/>
        </w:rPr>
        <w:t>Claire Auditeau</w:t>
      </w:r>
      <w:r w:rsidR="007C3211" w:rsidRPr="00CB58AD">
        <w:rPr>
          <w:rFonts w:ascii="Arial" w:hAnsi="Arial" w:cs="Arial"/>
          <w:color w:val="000000" w:themeColor="text1"/>
          <w:sz w:val="28"/>
          <w:szCs w:val="28"/>
        </w:rPr>
        <w:t xml:space="preserve"> </w:t>
      </w:r>
      <w:r w:rsidR="007C3211" w:rsidRPr="00CB58AD">
        <w:rPr>
          <w:rFonts w:ascii="Arial" w:hAnsi="Arial" w:cs="Arial"/>
          <w:b/>
          <w:color w:val="000000" w:themeColor="text1"/>
          <w:sz w:val="28"/>
          <w:szCs w:val="28"/>
        </w:rPr>
        <w:t>et Dominique Lasne</w:t>
      </w:r>
      <w:r w:rsidR="007919F6" w:rsidRPr="00CB58AD">
        <w:rPr>
          <w:rFonts w:ascii="Arial" w:hAnsi="Arial" w:cs="Arial"/>
          <w:color w:val="000000" w:themeColor="text1"/>
          <w:sz w:val="28"/>
          <w:szCs w:val="28"/>
        </w:rPr>
        <w:t xml:space="preserve"> </w:t>
      </w:r>
    </w:p>
    <w:p w:rsidR="00D26888" w:rsidRPr="00CB58AD" w:rsidRDefault="00D26888" w:rsidP="00D26888">
      <w:pPr>
        <w:pStyle w:val="Paragraphedeliste"/>
        <w:autoSpaceDE w:val="0"/>
        <w:autoSpaceDN w:val="0"/>
        <w:adjustRightInd w:val="0"/>
        <w:ind w:left="360"/>
        <w:jc w:val="both"/>
        <w:rPr>
          <w:rFonts w:ascii="Arial" w:hAnsi="Arial" w:cs="Arial"/>
          <w:color w:val="000000" w:themeColor="text1"/>
          <w:sz w:val="28"/>
          <w:szCs w:val="28"/>
        </w:rPr>
      </w:pPr>
    </w:p>
    <w:p w:rsidR="007919F6" w:rsidRPr="00CB58AD" w:rsidRDefault="007919F6" w:rsidP="007919F6">
      <w:pPr>
        <w:pStyle w:val="Paragraphedeliste"/>
        <w:ind w:left="360" w:firstLine="348"/>
        <w:jc w:val="both"/>
        <w:rPr>
          <w:rFonts w:ascii="Arial" w:hAnsi="Arial" w:cs="Arial"/>
        </w:rPr>
      </w:pPr>
      <w:r w:rsidRPr="00CB58AD">
        <w:rPr>
          <w:rFonts w:ascii="Arial" w:hAnsi="Arial" w:cs="Arial"/>
        </w:rPr>
        <w:t xml:space="preserve">Les anticorps anti-emicizumab (« anti-drug antibodies » ou ADA) représentent un évènement indésirable rare chez les patients hémophiles A traités, qui n’a concerné que 0,1% des patients dans les études cliniques de phase 3 </w:t>
      </w:r>
      <w:r w:rsidRPr="00CB58AD">
        <w:rPr>
          <w:rFonts w:ascii="Arial" w:hAnsi="Arial" w:cs="Arial"/>
        </w:rPr>
        <w:fldChar w:fldCharType="begin"/>
      </w:r>
      <w:r w:rsidRPr="00CB58AD">
        <w:rPr>
          <w:rFonts w:ascii="Arial" w:hAnsi="Arial" w:cs="Arial"/>
        </w:rPr>
        <w:instrText xml:space="preserve"> ADDIN ZOTERO_ITEM CSL_CITATION {"citationID":"ftizNJV4","properties":{"formattedCitation":"(1)","plainCitation":"(1)","noteIndex":0},"citationItems":[{"id":1300,"uris":["http://zotero.org/users/5103319/items/I49TF8A8"],"itemData":{"id":1300,"type":"article-journal","abstract":"INTRODUCTION: Emicizumab is a humanised, bispecific monoclonal antibody mimicking the cofactor function of activated factor (F)VIII. It is indicated for routine prophylaxis of bleeding episodes in persons with haemophilia A (PwHA) with/without FVIII inhibitors.\nAIM: To evaluate the development of anti-emicizumab antibodies and their impact on pharmacokinetics (PK), pharmacodynamics (PD), efficacy and safety in PwHA.\nMETHODS: Data from seven completed or ongoing phase 3 studies were pooled. The assessment of the immunogenicity profile of emicizumab included anti-drug antibody (ADA) measurement and the association of ADAs with PK, PD, bleeding events, and adverse events.\nRESULTS: Of 668 PwHA evaluable for immunogenicity analysis, 34 (5.1%) developed ADAs after exposure to emicizumab. ADAs were transient in 14/34 PwHA (41.2%). ADAs were neutralising in vitro in 18/34 PwHA (52.9%) and associated with decreased emicizumab concentration in 4/668 evaluable PwHA (.6%); of those, one (.1%) discontinued emicizumab due to loss of efficacy. ADAs without decreased exposure did not impact emicizumab efficacy. The proportion of PwHA who had injection-site reactions (ISRs) was higher in ADA-positive PwHA (29.4% vs. 20.8%); however, the safety profile was similar between ADA-positive and ADA-negative PwHA, overall. No cases of anaphylaxis or hypersensitivity were reported in ADA-positive participants.\nCONCLUSION: The immunogenicity risk of emicizumab in phase 3 studies was low. ADAs, including in vitro neutralising ADAs, were not associated with a change in safety profile. Routine surveillance is, therefore, not warranted; however, in cases where a loss and/or waning of efficacy are observed, prompt evaluation by a healthcare provider should be sought.","container-title":"Haemophilia: The Official Journal of the World Federation of Hemophilia","DOI":"10.1111/hae.14398","ISSN":"1365-2516","issue":"6","journalAbbreviation":"Haemophilia","language":"eng","note":"PMID: 34480814\nPMCID: PMC9292930","page":"984-992","source":"PubMed","title":"Low immunogenicity of emicizumab in persons with haemophilia A","volume":"27","author":[{"family":"Schmitt","given":"Christophe"},{"family":"Emrich","given":"Thomas"},{"family":"Chebon","given":"Sammy"},{"family":"Fernandez","given":"Elena"},{"family":"Petry","given":"Claire"},{"family":"Yoneyama","given":"Koichiro"},{"family":"Kiialainen","given":"Anna"},{"family":"Howard","given":"Monet"},{"family":"Niggli","given":"Markus"},{"family":"Paz-Priel","given":"Ido"},{"family":"Chang","given":"Tiffany"}],"issued":{"date-parts":[["2021",11]]}}}],"schema":"https://github.com/citation-style-language/schema/raw/master/csl-citation.json"} </w:instrText>
      </w:r>
      <w:r w:rsidRPr="00CB58AD">
        <w:rPr>
          <w:rFonts w:ascii="Arial" w:hAnsi="Arial" w:cs="Arial"/>
        </w:rPr>
        <w:fldChar w:fldCharType="separate"/>
      </w:r>
      <w:r w:rsidRPr="00CB58AD">
        <w:rPr>
          <w:rFonts w:ascii="Arial" w:hAnsi="Arial" w:cs="Arial"/>
        </w:rPr>
        <w:t>(1)</w:t>
      </w:r>
      <w:r w:rsidRPr="00CB58AD">
        <w:rPr>
          <w:rFonts w:ascii="Arial" w:hAnsi="Arial" w:cs="Arial"/>
        </w:rPr>
        <w:fldChar w:fldCharType="end"/>
      </w:r>
      <w:r w:rsidRPr="00CB58AD">
        <w:rPr>
          <w:rFonts w:ascii="Arial" w:hAnsi="Arial" w:cs="Arial"/>
        </w:rPr>
        <w:t>. A ce jour, 5 cas d’ADA avec perte d’efficacité du traitement ont été rapportés dans la littérature</w:t>
      </w:r>
      <w:r w:rsidRPr="00CB58AD">
        <w:rPr>
          <w:rFonts w:ascii="Arial" w:hAnsi="Arial" w:cs="Arial"/>
        </w:rPr>
        <w:fldChar w:fldCharType="begin"/>
      </w:r>
      <w:r w:rsidRPr="00CB58AD">
        <w:rPr>
          <w:rFonts w:ascii="Arial" w:hAnsi="Arial" w:cs="Arial"/>
        </w:rPr>
        <w:instrText xml:space="preserve"> ADDIN ZOTERO_ITEM CSL_CITATION {"citationID":"dikkBez0","properties":{"formattedCitation":"(2\\uc0\\u8211{}6)","plainCitation":"(2–6)","noteIndex":0},"citationItems":[{"id":439,"uris":["http://zotero.org/users/5103319/items/57VZUZGQ"],"itemData":{"id":439,"type":"article-journal","abstract":"BACKGROUND: The genetically engineered, humanized, bispecific monoclonal antibody emicizumab (Hemlibra) that mimics the cofactor activity of activated factor VIII (FVIII) has been approved for treatment of hemophilia A patients with and without inhibitor. In the pivotal premarketing clinical trials, emicizumab prophylaxis significantly reduced bleeding rates compared with previous treatments and was well tolerated. However, a consequence of this novel therapy may be the host immune response to a foreign protein.\nOBJECTIVE: Characterization of the neutralizing anti-emicizumab antibody associated with the loss of treatment efficacy.\nPATIENT: A pediatric hemophilia A patient with inhibitor enrolled in the HAVEN2 (Study of Emicizumab Administered Subcutaneously (SC) in Pediatric Participants With Hemophilia A and Factor VIII (FVIII) Inhibitors) clinical trial.\nMETHODS: The anti-emicizumab antibody has been characterized with Western blot and enzyme-linked immunosorbent assay (ELISA). The antibody was affinity purified and sequenced. Binding affinity to full-length and papain-digested emicizumab was analyzed using surface plasmon resonance and byo-layer interferometry.\nRESULTS: The neutralizing anti-emicizumab antibody was highly polyclonal with high-affinity binding mainly to the Fab portion of emicizumab with a small amount of binding to the Fc portion. Molecular interaction experiments between emicizumab and the purified antibody indicated the presence of at least two components with similar affinities.\nCONCLUSIONS: Although the incidence of neutralizing anti-emicizumab antibody is rare, this study highlights the importance of a close monitoring and the need of a simple laboratory assay to promptly detect these antibodies in patients with a history of poor drug efficacy.","container-title":"Journal of thrombosis and haemostasis: JTH","DOI":"10.1111/jth.15226","ISSN":"1538-7836","issue":"3","journalAbbreviation":"J Thromb Haemost","language":"eng","note":"PMID: 33370499","page":"711-718","source":"PubMed","title":"Characterization of the neutralizing anti-emicizumab antibody in a patient with hemophilia A and inhibitor","volume":"19","author":[{"family":"Valsecchi","given":"Carla"},{"family":"Gobbi","given":"Marco"},{"family":"Beeg","given":"Marten"},{"family":"Adams","given":"Ty"},{"family":"Castaman","given":"Giancarlo"},{"family":"Schiavone","given":"Lucia"},{"family":"Huntington","given":"James A."},{"family":"Peyvandi","given":"Flora"}],"issued":{"date-parts":[["2021",3]]}}},{"id":437,"uris":["http://zotero.org/users/5103319/items/CLEXG9GA"],"itemData":{"id":437,"type":"article-journal","container-title":"Haematologica","DOI":"10.3324/haematol.2021.278579","ISSN":"1592-8721","issue":"8","journalAbbreviation":"Haematologica","language":"eng","note":"PMID: 34011136\nPMCID: PMC8327735","page":"2287-2290","source":"PubMed","title":"Non-inhibitory antibodies inducing increased emicizumab clearance in a severe haemophilia A inhibitor patient","volume":"106","author":[{"family":"Harroche","given":"Annie"},{"family":"Sefiane","given":"Thibaud"},{"family":"Desvages","given":"Maximilien"},{"family":"Borgel","given":"Delphine"},{"family":"Lasne","given":"Dominique"},{"family":"Casari","given":"Caterina"},{"family":"Peyron","given":"Ivan"},{"family":"Frenzel","given":"Laurent"},{"family":"Chhun","given":"Stéphanie"},{"family":"Lenting","given":"Peter J."},{"family":"Bally","given":"Cécile"}],"issued":{"date-parts":[["2021",8,1]]}},"label":"page"},{"id":1311,"uris":["http://zotero.org/users/5103319/items/HK3XKESE"],"itemData":{"id":1311,"type":"article-journal","abstract":"Hemophilia A is an inherited bleeding disorder characterized by deficiency of the coagulation protein factor VIII. Development of clotting factor concentrates has resulted in an excellent prognosis for this historically fatal disease. However, neutralizing antidrug antibodies to factor concentrates can develop, complicating management and worsening the prognosis, and thus creating an unmet need for novel therapies. One such agent is emicizumab, a bispecific monoclonal antibody which mimics the function of factor VIII. Collectively across the HAVEN clinical trial program, the rate of antidrug antibodies with neutralizing potential was 0.75%. Since its licensure, there have been no further reports of such antibodies, despite its use in thousands of patients. In this report, we describe a patient with severe hemophilia A with inhibitors who developed a neutralizing antidrug antibody to emicizumab, for whom we performed extensive testing in the special coagulation laboratory.","container-title":"Journal of thrombosis and haemostasis: JTH","DOI":"10.1111/jth.14957","ISSN":"1538-7836","issue":"9","journalAbbreviation":"J Thromb Haemost","language":"eng","note":"PMID: 32544268","page":"2205-2208","source":"PubMed","title":"Neutralizing antidrug antibody to emicizumab in a patient with severe hemophilia A with inhibitors: New case with detailed laboratory evaluation","title-short":"Neutralizing antidrug antibody to emicizumab in a patient with severe hemophilia A with inhibitors","volume":"18","author":[{"family":"Harkins Druzgal","given":"Colleen"},{"family":"Kizilocak","given":"Hande"},{"family":"Brown","given":"Joshua"},{"family":"Sennett","given":"Margaret"},{"family":"Young","given":"Guy"}],"issued":{"date-parts":[["2020",9]]}},"label":"page"},{"id":1313,"uris":["http://zotero.org/users/5103319/items/VMJZ8RDG"],"itemData":{"id":1313,"type":"article-journal","abstract":"BACKGROUND: Hemophilia A (HA) is a genetic bleeding disorder characterized by the deficiency of the coagulation protein factor (F) VIII (FVIII). The development of neutralizing antidrug antibodies (ADAs) to factor concentrates (inhibitors) created an unmet need for novel therapies. The first agent to address this need is emicizumab.\nKEY CLINICAL QUESTION: Can emicizumab ADA occur in patients with HA without FVIII inhibitors?\nCLINICAL APPROACH: A new case (the first in a noninhibitor patient) presented with unexpected and excessive bleeding and a prolonged activated partial thromboplastin time. The patient was evaluated by assessing FVIII levels, and the previously published modified version of the Bethesda assay was used to determine the level of ADA to emicizumab.\nCONCLUSION: Although emicizumab is very effective and has minimal immunogenicity, ADAs, albeit rare, can still occur. There have been 4 previously published anti-emicizumab ADA cases with severe HA with inhibitors, and herein, we describe 1 new case with severe HA without inhibitors.","container-title":"Research and Practice in Thrombosis and Haemostasis","DOI":"10.1016/j.rpth.2023.102194","ISSN":"2475-0379","issue":"6","journalAbbreviation":"Res Pract Thromb Haemost","language":"eng","note":"PMID: 37732158\nPMCID: PMC10507376","page":"102194","source":"PubMed","title":"Neutralizing antidrug antibody to emicizumab in patients with severe hemophilia A: Case report of a first noninhibitor patient and review of the literature","title-short":"Neutralizing antidrug antibody to emicizumab in patients with severe hemophilia A","volume":"7","author":[{"family":"Kizilocak","given":"Hande"},{"family":"Guerrera","given":"Michael F."},{"family":"Young","given":"Guy"}],"issued":{"date-parts":[["2023",8]]}}},{"id":1305,"uris":["http://zotero.org/users/5103319/items/HS2NUDAU"],"itemData":{"id":1305,"type":"article-journal","abstract":"BACKGROUND: Emicizumab is a humanized bispecific monoclonal antibody that bridges activated factor IX (FIXa) and factor X (FX) to mimic the function of factor VIII (FVIII). It suppresses the bleeding tendency in hemophilia A patients with or without FVIII inhibitors. A case of an adult FVIII inhibitor-positive hemophilia A patient in whom treatment with emicizumab was discontinued owing to the repeated bleeding events and prolonged activated partial thromboplastin time.\nOBJECTIVE: To analyze the mechanisms of decreased efficacy of emicizumab.\nMETHODS: Residual plasma samples were used to measure the following: emicizumab concentration in plasma, measured by enzyme-linked immunosorbent assay; titer of anti-drug antibody (ADA) against emicizumab, measured by electrochemiluminescence; and neutralizing activity against emicizumab, measured by Bethesda method modified by using emicizumab-spiked FVIII-deficient plasma.\nRESULTS: At week 31, emicizumab concentration was 15.0 μg/ml, and ADAs were measured as positive. Emicizumab concentration continued to decrease until emicizumab discontinuation point at week 49, and after week 50, emicizumab concentrations were below the limitation of quantification. The ADA titer increased transiently from week 31, even past the emicizumab discontinuation point at week 49. The ADA titer then gradually decreased until the last sampling point at week 93. Neutralizing activity against emicizumab was detected after emicizumab discontinuation. Epitope analysis showed that the ADAs recognize the anti-FIXa and anti-FX Fab arms of emicizumab, but not the Fc region.\nCONCLUSION: The appearance of ADAs with emicizumab-neutralizing activity and potential to accelerate emicizumab clearance decreased the efficacy of emicizumab.","container-title":"Journal of thrombosis and haemostasis: JTH","DOI":"10.1111/jth.15506","ISSN":"1538-7836","issue":"12","journalAbbreviation":"J Thromb Haemost","language":"eng","note":"PMID: 34418287\nPMCID: PMC9292660","page":"2938-2946","source":"PubMed","title":"Detailed analysis of anti-emicizumab antibody decreasing drug efficacy, using plasma samples from a patient with hemophilia A","volume":"19","author":[{"family":"Kaneda","given":"Makoto"},{"family":"Kawasaki","given":"Ryohei"},{"family":"Matsumoto","given":"Naoki"},{"family":"Abe","given":"Hiroto"},{"family":"Tashiro","given":"Yoshihito"},{"family":"Inokuchi","given":"Yuta"},{"family":"Yasuno","given":"Hideyuki"},{"family":"Sasaki-Noguchi","given":"Mariko"},{"family":"Soeda","given":"Tetsuhiro"},{"family":"Yoshimura","given":"Yasushi"},{"family":"Oka","given":"Toshiaki"}],"issued":{"date-parts":[["2021",12]]}}}],"schema":"https://github.com/citation-style-language/schema/raw/master/csl-citation.json"} </w:instrText>
      </w:r>
      <w:r w:rsidRPr="00CB58AD">
        <w:rPr>
          <w:rFonts w:ascii="Arial" w:hAnsi="Arial" w:cs="Arial"/>
        </w:rPr>
        <w:fldChar w:fldCharType="separate"/>
      </w:r>
      <w:r w:rsidRPr="00CB58AD">
        <w:rPr>
          <w:rFonts w:ascii="Arial" w:hAnsi="Arial" w:cs="Arial"/>
        </w:rPr>
        <w:t>(2–6)</w:t>
      </w:r>
      <w:r w:rsidRPr="00CB58AD">
        <w:rPr>
          <w:rFonts w:ascii="Arial" w:hAnsi="Arial" w:cs="Arial"/>
        </w:rPr>
        <w:fldChar w:fldCharType="end"/>
      </w:r>
      <w:r w:rsidRPr="00CB58AD">
        <w:rPr>
          <w:rFonts w:ascii="Arial" w:hAnsi="Arial" w:cs="Arial"/>
        </w:rPr>
        <w:t xml:space="preserve">. Il s’agit le plus fréquemment d’enfants ayant un inhibiteur anti-VIII, qui se présentent moins d’un an après l’initiation du traitement avec un saignement spontané ainsi qu’un allongement du TCA associé à une concentration d’emicizumab effondrée. Lorsqu’un patient traité se présente avec un allongement du TCA et une concentration d’emicizumab basse (&lt;10 µg/mL), avec ou sans saignement, il n’est pas toujours facile de trancher entre un problème d’observance ou une suspicion d’ADA. </w:t>
      </w:r>
    </w:p>
    <w:p w:rsidR="007919F6" w:rsidRPr="00CB58AD" w:rsidRDefault="007919F6" w:rsidP="007919F6">
      <w:pPr>
        <w:pStyle w:val="Paragraphedeliste"/>
        <w:ind w:left="360" w:firstLine="348"/>
        <w:jc w:val="both"/>
        <w:rPr>
          <w:rFonts w:ascii="Arial" w:hAnsi="Arial" w:cs="Arial"/>
        </w:rPr>
      </w:pPr>
      <w:r w:rsidRPr="00CB58AD">
        <w:rPr>
          <w:rFonts w:ascii="Arial" w:hAnsi="Arial" w:cs="Arial"/>
        </w:rPr>
        <w:t xml:space="preserve">Nous avons adapté localement à Necker une technique déjà publiée </w:t>
      </w:r>
      <w:r w:rsidRPr="00CB58AD">
        <w:rPr>
          <w:rFonts w:ascii="Arial" w:hAnsi="Arial" w:cs="Arial"/>
        </w:rPr>
        <w:fldChar w:fldCharType="begin"/>
      </w:r>
      <w:r w:rsidRPr="00CB58AD">
        <w:rPr>
          <w:rFonts w:ascii="Arial" w:hAnsi="Arial" w:cs="Arial"/>
        </w:rPr>
        <w:instrText xml:space="preserve"> ADDIN ZOTERO_ITEM CSL_CITATION {"citationID":"z5DzisL3","properties":{"formattedCitation":"(2)","plainCitation":"(2)","noteIndex":0},"citationItems":[{"id":439,"uris":["http://zotero.org/users/5103319/items/57VZUZGQ"],"itemData":{"id":439,"type":"article-journal","abstract":"BACKGROUND: The genetically engineered, humanized, bispecific monoclonal antibody emicizumab (Hemlibra) that mimics the cofactor activity of activated factor VIII (FVIII) has been approved for treatment of hemophilia A patients with and without inhibitor. In the pivotal premarketing clinical trials, emicizumab prophylaxis significantly reduced bleeding rates compared with previous treatments and was well tolerated. However, a consequence of this novel therapy may be the host immune response to a foreign protein.\nOBJECTIVE: Characterization of the neutralizing anti-emicizumab antibody associated with the loss of treatment efficacy.\nPATIENT: A pediatric hemophilia A patient with inhibitor enrolled in the HAVEN2 (Study of Emicizumab Administered Subcutaneously (SC) in Pediatric Participants With Hemophilia A and Factor VIII (FVIII) Inhibitors) clinical trial.\nMETHODS: The anti-emicizumab antibody has been characterized with Western blot and enzyme-linked immunosorbent assay (ELISA). The antibody was affinity purified and sequenced. Binding affinity to full-length and papain-digested emicizumab was analyzed using surface plasmon resonance and byo-layer interferometry.\nRESULTS: The neutralizing anti-emicizumab antibody was highly polyclonal with high-affinity binding mainly to the Fab portion of emicizumab with a small amount of binding to the Fc portion. Molecular interaction experiments between emicizumab and the purified antibody indicated the presence of at least two components with similar affinities.\nCONCLUSIONS: Although the incidence of neutralizing anti-emicizumab antibody is rare, this study highlights the importance of a close monitoring and the need of a simple laboratory assay to promptly detect these antibodies in patients with a history of poor drug efficacy.","container-title":"Journal of thrombosis and haemostasis: JTH","DOI":"10.1111/jth.15226","ISSN":"1538-7836","issue":"3","journalAbbreviation":"J Thromb Haemost","language":"eng","note":"PMID: 33370499","page":"711-718","source":"PubMed","title":"Characterization of the neutralizing anti-emicizumab antibody in a patient with hemophilia A and inhibitor","volume":"19","author":[{"family":"Valsecchi","given":"Carla"},{"family":"Gobbi","given":"Marco"},{"family":"Beeg","given":"Marten"},{"family":"Adams","given":"Ty"},{"family":"Castaman","given":"Giancarlo"},{"family":"Schiavone","given":"Lucia"},{"family":"Huntington","given":"James A."},{"family":"Peyvandi","given":"Flora"}],"issued":{"date-parts":[["2021",3]]}}}],"schema":"https://github.com/citation-style-language/schema/raw/master/csl-citation.json"} </w:instrText>
      </w:r>
      <w:r w:rsidRPr="00CB58AD">
        <w:rPr>
          <w:rFonts w:ascii="Arial" w:hAnsi="Arial" w:cs="Arial"/>
        </w:rPr>
        <w:fldChar w:fldCharType="separate"/>
      </w:r>
      <w:r w:rsidRPr="00CB58AD">
        <w:rPr>
          <w:rFonts w:ascii="Arial" w:hAnsi="Arial" w:cs="Arial"/>
        </w:rPr>
        <w:t>(2)</w:t>
      </w:r>
      <w:r w:rsidRPr="00CB58AD">
        <w:rPr>
          <w:rFonts w:ascii="Arial" w:hAnsi="Arial" w:cs="Arial"/>
        </w:rPr>
        <w:fldChar w:fldCharType="end"/>
      </w:r>
      <w:r w:rsidRPr="00CB58AD">
        <w:rPr>
          <w:rFonts w:ascii="Arial" w:hAnsi="Arial" w:cs="Arial"/>
        </w:rPr>
        <w:t xml:space="preserve">, permettant de mettre en évidence les ADA anti-emicizumab par méthode ELISA. Cet ELISA sandwich repose sur la capacité des ADA à se lier deux fois à l’emicizumab : le plasma dilué du patient est mis en contact avec de l’emicizumab qui recouvre les puits de la plaque ELISA et de l’emicizumab biotinylé. Le complexe emicizumab-ADA-emicizumab biotinylé est révélé par l’ajout de streptavidine couplée à une peroxydase. Nous avons pu vérifier la positivité de ce test pour deux patients ayant arrêté l’emicizumab pour perte d’efficacité, ainsi que la négativité du test pour des patients ayant un problème d’observance ou de mauvaise administration du médicament. Par ailleurs, les concentrations d’emicizumab et d’emicizumab biotinylé utilisées dans le test sont adaptées pour limiter l’interférence de la présence éventuelle d’emicizumab dans l’échantillon du patient, et éviter un risque de fausse négativité. </w:t>
      </w:r>
    </w:p>
    <w:p w:rsidR="007919F6" w:rsidRPr="00CB58AD" w:rsidRDefault="007919F6" w:rsidP="007919F6">
      <w:pPr>
        <w:pStyle w:val="Paragraphedeliste"/>
        <w:ind w:left="360" w:firstLine="348"/>
        <w:jc w:val="both"/>
        <w:rPr>
          <w:rFonts w:ascii="Arial" w:hAnsi="Arial" w:cs="Arial"/>
        </w:rPr>
      </w:pPr>
      <w:r w:rsidRPr="00CB58AD">
        <w:rPr>
          <w:rFonts w:ascii="Arial" w:hAnsi="Arial" w:cs="Arial"/>
        </w:rPr>
        <w:t>Nous proposons d’utiliser ce test en parallèle d’un test thérapeutique si un patient se présente avec un saignement associé à un allongement du TCA avec une concentration d’emicizumab très basse (&lt;10 µg/mL). Dans le cas où le patient ne présente pas de saignement mais a un allongement du TCA avec une concentration d’emicizumab très basse (&lt;10 µg/mL), le test thérapeutique est à privilégier en première intention. Celui-ci peut être réalisé en injectant l’emicizumab à l’hôpital à 3 mg/kg, puis en contrôlant</w:t>
      </w:r>
      <w:r w:rsidR="00D26888" w:rsidRPr="00CB58AD">
        <w:rPr>
          <w:rFonts w:ascii="Arial" w:hAnsi="Arial" w:cs="Arial"/>
        </w:rPr>
        <w:t xml:space="preserve"> le TCA qui devrait se normaliser</w:t>
      </w:r>
      <w:r w:rsidRPr="00CB58AD">
        <w:rPr>
          <w:rFonts w:ascii="Arial" w:hAnsi="Arial" w:cs="Arial"/>
        </w:rPr>
        <w:t xml:space="preserve"> à J7 en cas de problème d’observance.</w:t>
      </w:r>
    </w:p>
    <w:p w:rsidR="007919F6" w:rsidRPr="00CB58AD" w:rsidRDefault="007919F6" w:rsidP="007919F6">
      <w:pPr>
        <w:pStyle w:val="Paragraphedeliste"/>
        <w:ind w:left="360"/>
        <w:jc w:val="both"/>
        <w:rPr>
          <w:rFonts w:ascii="Arial" w:hAnsi="Arial" w:cs="Arial"/>
        </w:rPr>
      </w:pPr>
    </w:p>
    <w:p w:rsidR="00D26888" w:rsidRPr="00CB58AD" w:rsidRDefault="00D26888" w:rsidP="007919F6">
      <w:pPr>
        <w:pStyle w:val="Paragraphedeliste"/>
        <w:ind w:left="360"/>
        <w:jc w:val="both"/>
        <w:rPr>
          <w:rFonts w:ascii="Arial" w:hAnsi="Arial" w:cs="Arial"/>
        </w:rPr>
      </w:pPr>
      <w:r w:rsidRPr="00CB58AD">
        <w:rPr>
          <w:rFonts w:ascii="Arial" w:hAnsi="Arial" w:cs="Arial"/>
          <w:b/>
        </w:rPr>
        <w:t>Bibliographie</w:t>
      </w:r>
      <w:r w:rsidRPr="00CB58AD">
        <w:rPr>
          <w:rFonts w:ascii="Arial" w:hAnsi="Arial" w:cs="Arial"/>
        </w:rPr>
        <w:t> :</w:t>
      </w:r>
    </w:p>
    <w:p w:rsidR="007919F6" w:rsidRPr="00CB58AD" w:rsidRDefault="007919F6" w:rsidP="007919F6">
      <w:pPr>
        <w:pStyle w:val="Bibliographie"/>
        <w:ind w:left="360"/>
        <w:rPr>
          <w:rFonts w:ascii="Arial" w:hAnsi="Arial" w:cs="Arial"/>
        </w:rPr>
      </w:pPr>
      <w:r w:rsidRPr="00CB58AD">
        <w:rPr>
          <w:rFonts w:ascii="Arial" w:hAnsi="Arial" w:cs="Arial"/>
        </w:rPr>
        <w:fldChar w:fldCharType="begin"/>
      </w:r>
      <w:r w:rsidRPr="00CB58AD">
        <w:rPr>
          <w:rFonts w:ascii="Arial" w:hAnsi="Arial" w:cs="Arial"/>
        </w:rPr>
        <w:instrText xml:space="preserve"> ADDIN ZOTERO_BIBL {"uncited":[],"omitted":[],"custom":[]} CSL_BIBLIOGRAPHY </w:instrText>
      </w:r>
      <w:r w:rsidRPr="00CB58AD">
        <w:rPr>
          <w:rFonts w:ascii="Arial" w:hAnsi="Arial" w:cs="Arial"/>
        </w:rPr>
        <w:fldChar w:fldCharType="separate"/>
      </w:r>
      <w:r w:rsidRPr="00CB58AD">
        <w:rPr>
          <w:rFonts w:ascii="Arial" w:hAnsi="Arial" w:cs="Arial"/>
        </w:rPr>
        <w:t>1.</w:t>
      </w:r>
      <w:r w:rsidRPr="00CB58AD">
        <w:rPr>
          <w:rFonts w:ascii="Arial" w:hAnsi="Arial" w:cs="Arial"/>
        </w:rPr>
        <w:tab/>
        <w:t>Schmitt C, Emrich T, Chebon S, Fernandez E, Petry C, Yoneyama K, et al. Low immunogenicity of emicizumab in persons with haemophilia A. Haemoph Off J World Fed Hemoph. nov 2021;27(6):984</w:t>
      </w:r>
      <w:r w:rsidRPr="00CB58AD">
        <w:rPr>
          <w:rFonts w:ascii="Cambria Math" w:hAnsi="Cambria Math" w:cs="Cambria Math"/>
        </w:rPr>
        <w:t>‑</w:t>
      </w:r>
      <w:r w:rsidRPr="00CB58AD">
        <w:rPr>
          <w:rFonts w:ascii="Arial" w:hAnsi="Arial" w:cs="Arial"/>
        </w:rPr>
        <w:t xml:space="preserve">92. </w:t>
      </w:r>
    </w:p>
    <w:p w:rsidR="007919F6" w:rsidRPr="00CB58AD" w:rsidRDefault="007919F6" w:rsidP="007919F6">
      <w:pPr>
        <w:pStyle w:val="Bibliographie"/>
        <w:ind w:left="360"/>
        <w:rPr>
          <w:rFonts w:ascii="Arial" w:hAnsi="Arial" w:cs="Arial"/>
        </w:rPr>
      </w:pPr>
      <w:r w:rsidRPr="00CB58AD">
        <w:rPr>
          <w:rFonts w:ascii="Arial" w:hAnsi="Arial" w:cs="Arial"/>
        </w:rPr>
        <w:t>2.</w:t>
      </w:r>
      <w:r w:rsidRPr="00CB58AD">
        <w:rPr>
          <w:rFonts w:ascii="Arial" w:hAnsi="Arial" w:cs="Arial"/>
        </w:rPr>
        <w:tab/>
        <w:t>Valsecchi C, Gobbi M, Beeg M, Adams T, Castaman G, Schiavone L, et al. Characterization of the neutralizing anti-emicizumab antibody in a patient with hemophilia A and inhibitor. J Thromb Haemost JTH. mars 2021;19(3):711</w:t>
      </w:r>
      <w:r w:rsidRPr="00CB58AD">
        <w:rPr>
          <w:rFonts w:ascii="Cambria Math" w:hAnsi="Cambria Math" w:cs="Cambria Math"/>
        </w:rPr>
        <w:t>‑</w:t>
      </w:r>
      <w:r w:rsidRPr="00CB58AD">
        <w:rPr>
          <w:rFonts w:ascii="Arial" w:hAnsi="Arial" w:cs="Arial"/>
        </w:rPr>
        <w:t xml:space="preserve">8. </w:t>
      </w:r>
    </w:p>
    <w:p w:rsidR="007919F6" w:rsidRPr="00CB58AD" w:rsidRDefault="007919F6" w:rsidP="007919F6">
      <w:pPr>
        <w:pStyle w:val="Bibliographie"/>
        <w:ind w:left="360"/>
        <w:rPr>
          <w:rFonts w:ascii="Arial" w:hAnsi="Arial" w:cs="Arial"/>
        </w:rPr>
      </w:pPr>
      <w:r w:rsidRPr="00CB58AD">
        <w:rPr>
          <w:rFonts w:ascii="Arial" w:hAnsi="Arial" w:cs="Arial"/>
        </w:rPr>
        <w:t>3.</w:t>
      </w:r>
      <w:r w:rsidRPr="00CB58AD">
        <w:rPr>
          <w:rFonts w:ascii="Arial" w:hAnsi="Arial" w:cs="Arial"/>
        </w:rPr>
        <w:tab/>
        <w:t>Harroche A, Sefiane T, Desvages M, Borgel D, Lasne D, Casari C, et al. Non-inhibitory antibodies inducing increased emicizumab clearance in a severe haemophilia A inhibitor patient. Haematologica. 1 août 2021;106(8):2287</w:t>
      </w:r>
      <w:r w:rsidRPr="00CB58AD">
        <w:rPr>
          <w:rFonts w:ascii="Cambria Math" w:hAnsi="Cambria Math" w:cs="Cambria Math"/>
        </w:rPr>
        <w:t>‑</w:t>
      </w:r>
      <w:r w:rsidRPr="00CB58AD">
        <w:rPr>
          <w:rFonts w:ascii="Arial" w:hAnsi="Arial" w:cs="Arial"/>
        </w:rPr>
        <w:t xml:space="preserve">90. </w:t>
      </w:r>
    </w:p>
    <w:p w:rsidR="007919F6" w:rsidRPr="00CB58AD" w:rsidRDefault="007919F6" w:rsidP="007919F6">
      <w:pPr>
        <w:pStyle w:val="Bibliographie"/>
        <w:ind w:left="360"/>
        <w:rPr>
          <w:rFonts w:ascii="Arial" w:hAnsi="Arial" w:cs="Arial"/>
        </w:rPr>
      </w:pPr>
      <w:r w:rsidRPr="00CB58AD">
        <w:rPr>
          <w:rFonts w:ascii="Arial" w:hAnsi="Arial" w:cs="Arial"/>
        </w:rPr>
        <w:t>4.</w:t>
      </w:r>
      <w:r w:rsidRPr="00CB58AD">
        <w:rPr>
          <w:rFonts w:ascii="Arial" w:hAnsi="Arial" w:cs="Arial"/>
        </w:rPr>
        <w:tab/>
        <w:t>Harkins Druzgal C, Kizilocak H, Brown J, Sennett M, Young G. Neutralizing antidrug antibody to emicizumab in a patient with severe hemophilia A with inhibitors: New case with detailed laboratory evaluation. J Thromb Haemost JTH. sept 2020;18(9):2205</w:t>
      </w:r>
      <w:r w:rsidRPr="00CB58AD">
        <w:rPr>
          <w:rFonts w:ascii="Cambria Math" w:hAnsi="Cambria Math" w:cs="Cambria Math"/>
        </w:rPr>
        <w:t>‑</w:t>
      </w:r>
      <w:r w:rsidRPr="00CB58AD">
        <w:rPr>
          <w:rFonts w:ascii="Arial" w:hAnsi="Arial" w:cs="Arial"/>
        </w:rPr>
        <w:t xml:space="preserve">8. </w:t>
      </w:r>
    </w:p>
    <w:p w:rsidR="007919F6" w:rsidRPr="00CB58AD" w:rsidRDefault="007919F6" w:rsidP="007919F6">
      <w:pPr>
        <w:pStyle w:val="Bibliographie"/>
        <w:ind w:left="360"/>
        <w:rPr>
          <w:rFonts w:ascii="Arial" w:hAnsi="Arial" w:cs="Arial"/>
        </w:rPr>
      </w:pPr>
      <w:r w:rsidRPr="00CB58AD">
        <w:rPr>
          <w:rFonts w:ascii="Arial" w:hAnsi="Arial" w:cs="Arial"/>
        </w:rPr>
        <w:lastRenderedPageBreak/>
        <w:t>5.</w:t>
      </w:r>
      <w:r w:rsidRPr="00CB58AD">
        <w:rPr>
          <w:rFonts w:ascii="Arial" w:hAnsi="Arial" w:cs="Arial"/>
        </w:rPr>
        <w:tab/>
        <w:t xml:space="preserve">Kizilocak H, Guerrera MF, Young G. Neutralizing antidrug antibody to emicizumab in patients with severe hemophilia A: Case report of a first noninhibitor patient and review of the literature. Res Pract Thromb Haemost. août 2023;7(6):102194. </w:t>
      </w:r>
    </w:p>
    <w:p w:rsidR="007919F6" w:rsidRPr="00CB58AD" w:rsidRDefault="007919F6" w:rsidP="007919F6">
      <w:pPr>
        <w:pStyle w:val="Bibliographie"/>
        <w:ind w:left="360"/>
        <w:rPr>
          <w:rFonts w:ascii="Arial" w:hAnsi="Arial" w:cs="Arial"/>
        </w:rPr>
      </w:pPr>
      <w:r w:rsidRPr="00CB58AD">
        <w:rPr>
          <w:rFonts w:ascii="Arial" w:hAnsi="Arial" w:cs="Arial"/>
        </w:rPr>
        <w:t>6.</w:t>
      </w:r>
      <w:r w:rsidRPr="00CB58AD">
        <w:rPr>
          <w:rFonts w:ascii="Arial" w:hAnsi="Arial" w:cs="Arial"/>
        </w:rPr>
        <w:tab/>
        <w:t>Kaneda M, Kawasaki R, Matsumoto N, Abe H, Tashiro Y, Inokuchi Y, et al. Detailed analysis of anti-emicizumab antibody decreasing drug efficacy, using plasma samples from a patient with hemophilia A. J Thromb Haemost JTH. déc 2021;19(12):2938</w:t>
      </w:r>
      <w:r w:rsidRPr="00CB58AD">
        <w:rPr>
          <w:rFonts w:ascii="Cambria Math" w:hAnsi="Cambria Math" w:cs="Cambria Math"/>
        </w:rPr>
        <w:t>‑</w:t>
      </w:r>
      <w:r w:rsidRPr="00CB58AD">
        <w:rPr>
          <w:rFonts w:ascii="Arial" w:hAnsi="Arial" w:cs="Arial"/>
        </w:rPr>
        <w:t xml:space="preserve">46. </w:t>
      </w:r>
    </w:p>
    <w:p w:rsidR="007919F6" w:rsidRPr="00CB58AD" w:rsidRDefault="007919F6" w:rsidP="007919F6">
      <w:pPr>
        <w:pStyle w:val="Paragraphedeliste"/>
        <w:ind w:left="360"/>
        <w:rPr>
          <w:rFonts w:ascii="Arial" w:hAnsi="Arial" w:cs="Arial"/>
        </w:rPr>
      </w:pPr>
      <w:r w:rsidRPr="00CB58AD">
        <w:rPr>
          <w:rFonts w:ascii="Arial" w:hAnsi="Arial" w:cs="Arial"/>
        </w:rPr>
        <w:fldChar w:fldCharType="end"/>
      </w:r>
    </w:p>
    <w:p w:rsidR="007919F6" w:rsidRPr="00CB58AD" w:rsidRDefault="007919F6" w:rsidP="007C3211">
      <w:pPr>
        <w:autoSpaceDE w:val="0"/>
        <w:autoSpaceDN w:val="0"/>
        <w:adjustRightInd w:val="0"/>
        <w:jc w:val="both"/>
        <w:rPr>
          <w:rFonts w:ascii="Arial" w:hAnsi="Arial" w:cs="Arial"/>
          <w:color w:val="000000" w:themeColor="text1"/>
        </w:rPr>
      </w:pPr>
    </w:p>
    <w:p w:rsidR="006B7E6D" w:rsidRPr="00CB58AD" w:rsidRDefault="008D13E6" w:rsidP="00D26888">
      <w:pPr>
        <w:pStyle w:val="Paragraphedeliste"/>
        <w:numPr>
          <w:ilvl w:val="0"/>
          <w:numId w:val="5"/>
        </w:numPr>
        <w:autoSpaceDE w:val="0"/>
        <w:autoSpaceDN w:val="0"/>
        <w:adjustRightInd w:val="0"/>
        <w:jc w:val="both"/>
        <w:rPr>
          <w:rFonts w:ascii="Arial" w:hAnsi="Arial" w:cs="Arial"/>
          <w:b/>
          <w:color w:val="000000" w:themeColor="text1"/>
          <w:sz w:val="28"/>
          <w:szCs w:val="28"/>
        </w:rPr>
      </w:pPr>
      <w:r w:rsidRPr="00CB58AD">
        <w:rPr>
          <w:rFonts w:ascii="Arial" w:hAnsi="Arial" w:cs="Arial"/>
          <w:b/>
          <w:color w:val="FF0000"/>
          <w:sz w:val="28"/>
          <w:szCs w:val="28"/>
        </w:rPr>
        <w:t>Fièvre hémorragique </w:t>
      </w:r>
      <w:r w:rsidR="006B7E6D" w:rsidRPr="00CB58AD">
        <w:rPr>
          <w:rFonts w:ascii="Arial" w:hAnsi="Arial" w:cs="Arial"/>
          <w:b/>
          <w:color w:val="FF0000"/>
          <w:sz w:val="28"/>
          <w:szCs w:val="28"/>
        </w:rPr>
        <w:t xml:space="preserve">et </w:t>
      </w:r>
      <w:r w:rsidR="00377991" w:rsidRPr="00CB58AD">
        <w:rPr>
          <w:rFonts w:ascii="Arial" w:hAnsi="Arial" w:cs="Arial"/>
          <w:b/>
          <w:color w:val="FF0000"/>
          <w:sz w:val="28"/>
          <w:szCs w:val="28"/>
        </w:rPr>
        <w:t>hémostase :</w:t>
      </w:r>
      <w:r w:rsidRPr="00CB58AD">
        <w:rPr>
          <w:rFonts w:ascii="Arial" w:hAnsi="Arial" w:cs="Arial"/>
          <w:b/>
          <w:color w:val="FF0000"/>
          <w:sz w:val="28"/>
          <w:szCs w:val="28"/>
        </w:rPr>
        <w:t xml:space="preserve"> </w:t>
      </w:r>
      <w:r w:rsidRPr="00CB58AD">
        <w:rPr>
          <w:rFonts w:ascii="Arial" w:hAnsi="Arial" w:cs="Arial"/>
          <w:b/>
          <w:color w:val="000000" w:themeColor="text1"/>
          <w:sz w:val="28"/>
          <w:szCs w:val="28"/>
        </w:rPr>
        <w:t>Christophe Nougier</w:t>
      </w:r>
    </w:p>
    <w:p w:rsidR="006B7E6D" w:rsidRPr="00CB58AD" w:rsidRDefault="006B7E6D" w:rsidP="006B7E6D">
      <w:pPr>
        <w:pStyle w:val="Paragraphedeliste"/>
        <w:shd w:val="clear" w:color="auto" w:fill="FFFFFF"/>
        <w:spacing w:before="100" w:beforeAutospacing="1" w:after="100" w:afterAutospacing="1"/>
        <w:ind w:left="360"/>
        <w:jc w:val="both"/>
        <w:rPr>
          <w:rFonts w:ascii="Arial" w:hAnsi="Arial" w:cs="Arial"/>
          <w:color w:val="000000"/>
        </w:rPr>
      </w:pPr>
      <w:r w:rsidRPr="00CB58AD">
        <w:rPr>
          <w:rFonts w:ascii="Arial" w:hAnsi="Arial" w:cs="Arial"/>
          <w:color w:val="000000"/>
        </w:rPr>
        <w:t>Les menaces concernant les fièvres hémorragiques (FH) sont de plus en plus actuelles avec des alertes régulières concernant des cas d’infections (le plus souvent cas importé) : en 2014: un cas d’infection par le virus Ebola sur sol européen (contamination hospitalière où sont morts de ce virus en août et en septembre deux missionnaires rapatriés d'Afrique de l’Ouest), en 2023 des cas de fièvre Crimée Congo, transmise par les tiques dans le sud de l’Europe avec une alerte des autorités sanitaires car l’</w:t>
      </w:r>
      <w:r w:rsidRPr="00CB58AD">
        <w:rPr>
          <w:rFonts w:ascii="Arial" w:hAnsi="Arial" w:cs="Arial"/>
          <w:iCs/>
          <w:color w:val="000000"/>
        </w:rPr>
        <w:t xml:space="preserve">émergence est d'autant plus probable que la zone géographique d'implantation de ces tiques devrait s'étendre en raison du changement climatique en cours« : 10  cas recensé en Europe dont 3 mortels entre 2013 et  2021. Les agents pathogènes responsables des fièvres hémorragiques virales sont des </w:t>
      </w:r>
      <w:r w:rsidRPr="00CB58AD">
        <w:rPr>
          <w:rFonts w:ascii="Arial" w:hAnsi="Arial" w:cs="Arial"/>
          <w:i/>
          <w:iCs/>
          <w:color w:val="000000"/>
        </w:rPr>
        <w:t>arenaviridae</w:t>
      </w:r>
      <w:r w:rsidRPr="00CB58AD">
        <w:rPr>
          <w:rFonts w:ascii="Arial" w:hAnsi="Arial" w:cs="Arial"/>
          <w:iCs/>
          <w:color w:val="000000"/>
        </w:rPr>
        <w:t>, virus à ARN simple brin dont le virus de Lassa, le virus Machupo, virus Guanarito responsables de fièvres hémorragiques e</w:t>
      </w:r>
      <w:r w:rsidRPr="00CB58AD">
        <w:rPr>
          <w:rFonts w:ascii="Arial" w:hAnsi="Arial" w:cs="Arial"/>
          <w:color w:val="000000"/>
        </w:rPr>
        <w:t>ndémiques dans plusieurs pays ( virus Lassa en Afrique de l’Ouest </w:t>
      </w:r>
      <w:r w:rsidRPr="00CB58AD">
        <w:rPr>
          <w:rFonts w:ascii="Arial" w:hAnsi="Arial" w:cs="Arial"/>
          <w:b/>
          <w:bCs/>
          <w:color w:val="000000"/>
        </w:rPr>
        <w:t>– </w:t>
      </w:r>
      <w:r w:rsidRPr="00CB58AD">
        <w:rPr>
          <w:rFonts w:ascii="Arial" w:hAnsi="Arial" w:cs="Arial"/>
          <w:color w:val="000000"/>
        </w:rPr>
        <w:t>Bénin, Ghana, Guinée, Libéria, Mali, Sierra Leone, Nigéria – où sont infectés de 100 à 300 000 personnes, la fièvre de Lassa fait entre 5 000 à 6 000 victimes par an ; virus Machupo et Guanarito en Amérique Latine). Bien que le dysfonctionnement hémostatique semble être un déterminant majeur de la gravité de la maladie, les mécanismes pathogènes qui y conduisent ne sont pas encore clairs. Des études cliniques ont montré que les arénavirus, tels que les virus Lassa, Machupo et Guanarito, provoquent des FH dont les symptômes et les altérations biologiques varient. Dans cette étude, nous avons cherché à caractériser le dysfonctionnement hémostatique induit par l'HF arénavirale afin de déterminer son implication dans la sévérité de la maladie et d'élucider l'origine de ce syndrome. Nous avons constaté que l'infection létale par les virus Machupo, Guanarito et Lassa est associée à des hémorragies cutanéomuqueuses, cérébrales, digestives et pulmonaires. Les animaux atteints ont développé une altération sévère du système de coagulation, concomitante d'une hépatite aiguë, d'un déficit mineur de la synthèse des facteurs hépatiques, de la présence d'un inhibiteur plasmatique de la coagulation et d'un dysfonctionnement du système fibrinolytique. Malgré des signes de perméabilité vasculaire accrue, l'infection des cellules endothéliales n'a pas été un facteur déterminant du syndrome hémorragique. Des altérations de l'hémostase primaire ont également été observées au cours de l'infection létale, avec une thrombocytopénie modérée à sévère et un dysfonctionnement plaquettaire. Enfin, nous montrons que l'infection létale s'accompagne d'une réduction du potentiel hématopoïétique de la moelle osseuse. Cette étude fournit une caractérisation sans précédent des défauts de l'hémostase induits par plusieurs arénavirus hautement pathogènes.</w:t>
      </w:r>
    </w:p>
    <w:p w:rsidR="006B7E6D" w:rsidRPr="00CB58AD" w:rsidRDefault="006B7E6D" w:rsidP="006B7E6D">
      <w:pPr>
        <w:pStyle w:val="Paragraphedeliste"/>
        <w:shd w:val="clear" w:color="auto" w:fill="FFFFFF"/>
        <w:spacing w:before="100" w:beforeAutospacing="1" w:after="100" w:afterAutospacing="1"/>
        <w:ind w:left="360"/>
        <w:jc w:val="both"/>
        <w:rPr>
          <w:rFonts w:ascii="Arial" w:hAnsi="Arial" w:cs="Arial"/>
        </w:rPr>
      </w:pPr>
      <w:r w:rsidRPr="00CB58AD">
        <w:rPr>
          <w:rFonts w:ascii="Arial" w:hAnsi="Arial" w:cs="Arial"/>
          <w:b/>
          <w:color w:val="000000"/>
        </w:rPr>
        <w:lastRenderedPageBreak/>
        <w:t>En savoir plus</w:t>
      </w:r>
      <w:r w:rsidRPr="00CB58AD">
        <w:rPr>
          <w:rFonts w:ascii="Arial" w:hAnsi="Arial" w:cs="Arial"/>
          <w:color w:val="000000"/>
        </w:rPr>
        <w:t xml:space="preserve"> : </w:t>
      </w:r>
      <w:r w:rsidRPr="00CB58AD">
        <w:rPr>
          <w:rFonts w:ascii="Arial" w:hAnsi="Arial" w:cs="Arial"/>
          <w:i/>
          <w:color w:val="212121"/>
          <w:shd w:val="clear" w:color="auto" w:fill="FFFFFF"/>
        </w:rPr>
        <w:t>Lafoux B, Baillet N, Picard C, Fourcaud G, Borges-Cardoso V, Reynard S, Journeaux A, Germain C, Perthame E, Mateo M, Hortion J, Carnec X, Pietrosemoli N, Moroso M, Lacroix O, Jourjon O, Barron S, Vallve A, Duthey A, Jacquot F, Barrot L, Dirheimer M, Raoul H, Nougier C, Baize S. Hemostasis defects underlying the hemorrhagic syndrome caused by mammarenaviruses in a cynomolgus macaque model. Blood. 2023 Dec 14;142(24):2092-2104.</w:t>
      </w:r>
    </w:p>
    <w:p w:rsidR="006B7E6D" w:rsidRPr="00CB58AD" w:rsidRDefault="006B7E6D" w:rsidP="006B7E6D">
      <w:pPr>
        <w:pStyle w:val="Paragraphedeliste"/>
        <w:autoSpaceDE w:val="0"/>
        <w:autoSpaceDN w:val="0"/>
        <w:adjustRightInd w:val="0"/>
        <w:ind w:left="360"/>
        <w:jc w:val="both"/>
        <w:rPr>
          <w:rFonts w:ascii="Arial" w:hAnsi="Arial" w:cs="Arial"/>
          <w:color w:val="000000" w:themeColor="text1"/>
        </w:rPr>
      </w:pPr>
    </w:p>
    <w:p w:rsidR="00836122" w:rsidRPr="00CB58AD" w:rsidRDefault="008D13E6" w:rsidP="00D5122D">
      <w:pPr>
        <w:pStyle w:val="Paragraphedeliste"/>
        <w:numPr>
          <w:ilvl w:val="0"/>
          <w:numId w:val="5"/>
        </w:numPr>
        <w:autoSpaceDE w:val="0"/>
        <w:autoSpaceDN w:val="0"/>
        <w:adjustRightInd w:val="0"/>
        <w:jc w:val="both"/>
        <w:rPr>
          <w:rFonts w:ascii="Arial" w:hAnsi="Arial" w:cs="Arial"/>
          <w:color w:val="000000" w:themeColor="text1"/>
          <w:sz w:val="28"/>
          <w:szCs w:val="28"/>
        </w:rPr>
      </w:pPr>
      <w:r w:rsidRPr="00CB58AD">
        <w:rPr>
          <w:rFonts w:ascii="Arial" w:hAnsi="Arial" w:cs="Arial"/>
          <w:b/>
          <w:color w:val="FF0000"/>
          <w:sz w:val="28"/>
          <w:szCs w:val="28"/>
        </w:rPr>
        <w:t xml:space="preserve">Retour sur la recherche d’un anti facteur : </w:t>
      </w:r>
      <w:r w:rsidR="00D26888" w:rsidRPr="00CB58AD">
        <w:rPr>
          <w:rFonts w:ascii="Arial" w:hAnsi="Arial" w:cs="Arial"/>
          <w:b/>
          <w:color w:val="000000" w:themeColor="text1"/>
          <w:sz w:val="28"/>
          <w:szCs w:val="28"/>
        </w:rPr>
        <w:t>Pierre Toulon</w:t>
      </w:r>
    </w:p>
    <w:p w:rsidR="00CB58AD" w:rsidRPr="00CB58AD" w:rsidRDefault="00CB58AD" w:rsidP="00CB58AD">
      <w:pPr>
        <w:pStyle w:val="Paragraphedeliste"/>
        <w:ind w:left="360"/>
        <w:rPr>
          <w:rFonts w:ascii="Arial" w:eastAsiaTheme="majorEastAsia" w:hAnsi="Arial" w:cs="Arial"/>
          <w:b/>
          <w:bCs/>
          <w:color w:val="1F497D" w:themeColor="text2"/>
        </w:rPr>
      </w:pPr>
    </w:p>
    <w:p w:rsidR="00CB58AD" w:rsidRPr="00CB58AD" w:rsidRDefault="00CB58AD" w:rsidP="00CB58AD">
      <w:pPr>
        <w:pStyle w:val="Paragraphedeliste"/>
        <w:ind w:left="360"/>
        <w:rPr>
          <w:rFonts w:ascii="Arial" w:eastAsiaTheme="majorEastAsia" w:hAnsi="Arial" w:cs="Arial"/>
          <w:b/>
          <w:bCs/>
          <w:color w:val="1F497D" w:themeColor="text2"/>
          <w:u w:val="single"/>
        </w:rPr>
      </w:pPr>
      <w:r w:rsidRPr="00CB58AD">
        <w:rPr>
          <w:rFonts w:ascii="Arial" w:eastAsiaTheme="majorEastAsia" w:hAnsi="Arial" w:cs="Arial"/>
          <w:b/>
          <w:bCs/>
          <w:color w:val="1F497D" w:themeColor="text2"/>
          <w:u w:val="single"/>
        </w:rPr>
        <w:t>Analyse des réponses au questionnaire “Inhibiteur” BIMHO envoyé en décembre 2023</w:t>
      </w:r>
    </w:p>
    <w:p w:rsidR="00CB58AD" w:rsidRPr="00CB58AD" w:rsidRDefault="00CB58AD" w:rsidP="00CB58AD">
      <w:pPr>
        <w:pStyle w:val="Paragraphedeliste"/>
        <w:ind w:left="360"/>
        <w:rPr>
          <w:rFonts w:ascii="Arial" w:hAnsi="Arial" w:cs="Arial"/>
          <w:b/>
          <w:bCs/>
          <w:sz w:val="28"/>
          <w:szCs w:val="28"/>
        </w:rPr>
      </w:pPr>
    </w:p>
    <w:p w:rsidR="00CB58AD" w:rsidRPr="00CB58AD" w:rsidRDefault="00CB58AD" w:rsidP="00CB58AD">
      <w:pPr>
        <w:pStyle w:val="Paragraphedeliste"/>
        <w:ind w:left="360"/>
        <w:jc w:val="both"/>
        <w:rPr>
          <w:rFonts w:ascii="Arial" w:hAnsi="Arial" w:cs="Arial"/>
        </w:rPr>
      </w:pPr>
      <w:r w:rsidRPr="00CB58AD">
        <w:rPr>
          <w:rFonts w:ascii="Arial" w:hAnsi="Arial" w:cs="Arial"/>
        </w:rPr>
        <w:t xml:space="preserve">Les récentes recommandations de l’ICH concernant la mesure des inhibiteurs anti-facteur VIII et anti-facteur IX, publiées en 2023 (Int J Lab Hematol 2023; 45: 413-424) nous ont conduit à faire un état des lieux des pratiques en France. Pour ce faire un questionnaire a été envoyé en décembre 2023 à 46 centres </w:t>
      </w:r>
      <w:r w:rsidRPr="00CB58AD">
        <w:rPr>
          <w:rFonts w:ascii="Arial" w:eastAsiaTheme="minorEastAsia" w:hAnsi="Arial" w:cs="Arial"/>
          <w:color w:val="000000" w:themeColor="text1"/>
          <w:kern w:val="24"/>
        </w:rPr>
        <w:t>(métropole, Corse, Outre-Mer) appartenant ou non au BIMHO. Le taux de réponses de 100% nous ont permis d’avoir une vision exhaustive des pratiques en France.</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color w:val="000000" w:themeColor="text1"/>
          <w:kern w:val="24"/>
        </w:rPr>
        <w:t>Les réponses aux 25 questions ont montré une certaine hétérogénéité des pratiques même si des grandes tendances se dessinent sur certains points techniques.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color w:val="000000" w:themeColor="text1"/>
          <w:kern w:val="24"/>
        </w:rPr>
        <w:t>Le prélèvement se fait sur tube citraté 3.2% sauf dans 2 centres (CTAD).</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t>Le prétraitement du plasma</w:t>
      </w:r>
      <w:r w:rsidRPr="00CB58AD">
        <w:rPr>
          <w:rFonts w:ascii="Arial" w:eastAsiaTheme="minorEastAsia" w:hAnsi="Arial" w:cs="Arial"/>
          <w:color w:val="000000" w:themeColor="text1"/>
          <w:kern w:val="24"/>
        </w:rPr>
        <w:t xml:space="preserve"> est systématique dans 60% des centres et uniquement si le taux de FVIII/FIX est &gt;5</w:t>
      </w:r>
      <w:r w:rsidRPr="00CB58AD">
        <w:rPr>
          <w:rFonts w:ascii="Arial" w:eastAsiaTheme="minorEastAsia" w:hAnsi="Arial" w:cs="Arial"/>
          <w:color w:val="000000" w:themeColor="text1"/>
          <w:kern w:val="24"/>
        </w:rPr>
        <w:t xml:space="preserve"> UI/d</w:t>
      </w:r>
      <w:r w:rsidRPr="00CB58AD">
        <w:rPr>
          <w:rFonts w:ascii="Arial" w:eastAsiaTheme="minorEastAsia" w:hAnsi="Arial" w:cs="Arial"/>
          <w:color w:val="000000" w:themeColor="text1"/>
          <w:kern w:val="24"/>
        </w:rPr>
        <w:t xml:space="preserve">, généralement à une température de 58°C dans la majorité des centres (2/3 pour les anti-VIII et 3/4 pour les anti-IX) ou 56°C. La durée est de 30 minutes pour les anti-VIII dans 86% des centres et plus variable pour les anti-IX entre 30 minutes (40% des centres) et 90 minutes (45% des centres). Les conditions de la centrifugation ultérieure à température ambiante (100% des centres) sont plus hétérogènes avec une vitesse comprise entre 2200 et 2500 x g dans plus de 90% des centres, mais une durée entre 10 secondes et 15 minutes. </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t>Concernant le mélange</w:t>
      </w:r>
      <w:r w:rsidRPr="00CB58AD">
        <w:rPr>
          <w:rFonts w:ascii="Arial" w:eastAsiaTheme="minorEastAsia" w:hAnsi="Arial" w:cs="Arial"/>
          <w:color w:val="000000" w:themeColor="text1"/>
          <w:kern w:val="24"/>
        </w:rPr>
        <w:t>, l’incubation du plasma à tester se fait avec un plasma congelé dans 1/3 des centres ou un plasma lyophilisé dans près des 2/3 des centres dont le titre est adapté à 100 UI/dL dans 1/3 des centres. Le tamponnage n’est pas systématique, car les plasmas lyophilisés sont préalablement tamponnés.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color w:val="000000" w:themeColor="text1"/>
          <w:kern w:val="24"/>
        </w:rPr>
        <w:t>Aucun centre utilise un pool de plasma juste sorti du réfrigérateur avant son utilisat</w:t>
      </w:r>
      <w:r w:rsidRPr="00CB58AD">
        <w:rPr>
          <w:rFonts w:ascii="Arial" w:eastAsiaTheme="minorEastAsia" w:hAnsi="Arial" w:cs="Arial"/>
          <w:color w:val="000000" w:themeColor="text1"/>
          <w:kern w:val="24"/>
        </w:rPr>
        <w:t>ion pour le titrage des anti-IX</w:t>
      </w:r>
      <w:r w:rsidRPr="00CB58AD">
        <w:rPr>
          <w:rFonts w:ascii="Arial" w:eastAsiaTheme="minorEastAsia" w:hAnsi="Arial" w:cs="Arial"/>
          <w:color w:val="000000" w:themeColor="text1"/>
          <w:kern w:val="24"/>
        </w:rPr>
        <w:t>. La solution de contrôle est du tampon dans les 3/4 des centres et un plasma déplété dans 1/4 des centres.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t>L’incubation du mélange</w:t>
      </w:r>
      <w:r w:rsidRPr="00CB58AD">
        <w:rPr>
          <w:rFonts w:ascii="Arial" w:eastAsiaTheme="minorEastAsia" w:hAnsi="Arial" w:cs="Arial"/>
          <w:color w:val="000000" w:themeColor="text1"/>
          <w:kern w:val="24"/>
        </w:rPr>
        <w:t xml:space="preserve"> est de 120 minutes à 37°C pour la recherche des anti-VIII dans tous les centres, et plus hétérogène (entre 10 minutes et 120 minutes) pour les anti-IX. Il est à noter que pour une recherche/titrage initiale d’un inhibiteur de titre inconnu, une seule dilution (1 vol. plasma à tester + 1 vol. pool) est testée dans 1/4 des centres alors que plusieurs dilutions (entre 2 et &gt;9) sont utilisées dans les 3/4 des centres.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t>Le calcul du titre</w:t>
      </w:r>
      <w:r w:rsidRPr="00CB58AD">
        <w:rPr>
          <w:rFonts w:ascii="Arial" w:eastAsiaTheme="minorEastAsia" w:hAnsi="Arial" w:cs="Arial"/>
          <w:color w:val="000000" w:themeColor="text1"/>
          <w:kern w:val="24"/>
        </w:rPr>
        <w:t xml:space="preserve"> se fait à partir d’une dilution de l’échantillon ayant une activité résiduelle voisine de 50% du taux de base (comprise entre 40 et 60% dans 44% des centres).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lastRenderedPageBreak/>
        <w:t>Le rendu des résultats</w:t>
      </w:r>
      <w:r w:rsidRPr="00CB58AD">
        <w:rPr>
          <w:rFonts w:ascii="Arial" w:eastAsiaTheme="minorEastAsia" w:hAnsi="Arial" w:cs="Arial"/>
          <w:color w:val="000000" w:themeColor="text1"/>
          <w:kern w:val="24"/>
        </w:rPr>
        <w:t xml:space="preserve"> pour les taux faibles (reflétant le seuil de positivité et la limite inférieure de quantification) est &lt;0.60 UB/mL dans les 3/4 des centres et &lt; à une autre valeur limite entre &lt;0.30 et &lt;0.70 UB/mL dans 1/4 des centres.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t>En ce qui concerne les contrôles de qualité</w:t>
      </w:r>
      <w:r w:rsidRPr="00CB58AD">
        <w:rPr>
          <w:rFonts w:ascii="Arial" w:eastAsiaTheme="minorEastAsia" w:hAnsi="Arial" w:cs="Arial"/>
          <w:color w:val="000000" w:themeColor="text1"/>
          <w:kern w:val="24"/>
        </w:rPr>
        <w:t xml:space="preserve"> utilisés, 84% utilisent un CIQ (plasma congelé de titre connu dans les 3/4 des centres) et 91% sont inscrit à un programme d’EEQ (ECAT dans la quasi-totalité des centres).</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color w:val="000000" w:themeColor="text1"/>
          <w:kern w:val="24"/>
        </w:rPr>
        <w:t>Les résultats obtenus montrent un Z-score inférieur à 1 (en valeur absolue) dans 84% des 98 exercices d’anti-VIII et 86% des 74 exercices d’anti-IX rapportés par les centres. Seuls un exercice d’anti-VIII et un exercice d’anti-IX ont montré un Z-score supérieur à 2 (valeur absolue).</w:t>
      </w:r>
    </w:p>
    <w:p w:rsidR="00CB58AD" w:rsidRPr="00CB58AD" w:rsidRDefault="00CB58AD" w:rsidP="00CB58AD">
      <w:pPr>
        <w:pStyle w:val="NormalWeb"/>
        <w:kinsoku w:val="0"/>
        <w:overflowPunct w:val="0"/>
        <w:spacing w:before="0" w:beforeAutospacing="0" w:after="0" w:afterAutospacing="0"/>
        <w:ind w:left="360"/>
        <w:jc w:val="both"/>
        <w:textAlignment w:val="baseline"/>
        <w:rPr>
          <w:rFonts w:ascii="Arial" w:eastAsiaTheme="minorEastAsia" w:hAnsi="Arial" w:cs="Arial"/>
          <w:color w:val="000000" w:themeColor="text1"/>
          <w:kern w:val="24"/>
        </w:rPr>
      </w:pPr>
      <w:r w:rsidRPr="00CB58AD">
        <w:rPr>
          <w:rFonts w:ascii="Arial" w:eastAsiaTheme="minorEastAsia" w:hAnsi="Arial" w:cs="Arial"/>
          <w:b/>
          <w:color w:val="000000" w:themeColor="text1"/>
          <w:kern w:val="24"/>
        </w:rPr>
        <w:t>En conclusion</w:t>
      </w:r>
      <w:r w:rsidRPr="00CB58AD">
        <w:rPr>
          <w:rFonts w:ascii="Arial" w:eastAsiaTheme="minorEastAsia" w:hAnsi="Arial" w:cs="Arial"/>
          <w:color w:val="000000" w:themeColor="text1"/>
          <w:kern w:val="24"/>
        </w:rPr>
        <w:t>, il n’y a pas de suivi systématique des recommandations du BIMHO 2014, ou de l’ICSH 2023. En revanche, les résultats obtenus lors des derniers exercices d’EEQ ECAT sont très satisfaisants avec des Z-score entre -1.0 et +1.0 pour près de 85% des exercices, et seulement 1% de Z-scores au-delà de 2,0 (valeur absolue). Il ne sembla pas y avoir d’impact des modalités techniques sur ces performances (à affiner).</w:t>
      </w:r>
    </w:p>
    <w:p w:rsidR="00D26888" w:rsidRPr="00CB58AD" w:rsidRDefault="00D26888" w:rsidP="00CB58AD">
      <w:pPr>
        <w:autoSpaceDE w:val="0"/>
        <w:autoSpaceDN w:val="0"/>
        <w:adjustRightInd w:val="0"/>
        <w:jc w:val="both"/>
        <w:rPr>
          <w:rFonts w:ascii="Arial" w:hAnsi="Arial" w:cs="Arial"/>
          <w:color w:val="000000" w:themeColor="text1"/>
        </w:rPr>
      </w:pPr>
    </w:p>
    <w:p w:rsidR="00084BD7" w:rsidRPr="00CB58AD" w:rsidRDefault="00774DD5" w:rsidP="007919F6">
      <w:pPr>
        <w:pStyle w:val="Paragraphedeliste"/>
        <w:numPr>
          <w:ilvl w:val="0"/>
          <w:numId w:val="5"/>
        </w:numPr>
        <w:autoSpaceDE w:val="0"/>
        <w:autoSpaceDN w:val="0"/>
        <w:adjustRightInd w:val="0"/>
        <w:jc w:val="both"/>
        <w:rPr>
          <w:rFonts w:ascii="Arial" w:hAnsi="Arial" w:cs="Arial"/>
          <w:color w:val="000000" w:themeColor="text1"/>
          <w:sz w:val="28"/>
          <w:szCs w:val="28"/>
        </w:rPr>
      </w:pPr>
      <w:r w:rsidRPr="00CB58AD">
        <w:rPr>
          <w:rFonts w:ascii="Arial" w:hAnsi="Arial" w:cs="Arial"/>
          <w:b/>
          <w:color w:val="FF0000"/>
          <w:sz w:val="28"/>
          <w:szCs w:val="28"/>
        </w:rPr>
        <w:t xml:space="preserve">Etude multicentrique FVIII porcin recombinant : </w:t>
      </w:r>
      <w:r w:rsidRPr="00CB58AD">
        <w:rPr>
          <w:rFonts w:ascii="Arial" w:hAnsi="Arial" w:cs="Arial"/>
          <w:b/>
          <w:color w:val="000000" w:themeColor="text1"/>
          <w:sz w:val="28"/>
          <w:szCs w:val="28"/>
        </w:rPr>
        <w:t>Véronique Le Cam-Duchez</w:t>
      </w:r>
    </w:p>
    <w:p w:rsidR="00313E35" w:rsidRPr="00CB58AD" w:rsidRDefault="00313E35" w:rsidP="007C3211">
      <w:pPr>
        <w:pBdr>
          <w:top w:val="nil"/>
          <w:left w:val="nil"/>
          <w:bottom w:val="nil"/>
          <w:right w:val="nil"/>
          <w:between w:val="nil"/>
        </w:pBdr>
        <w:ind w:left="360" w:firstLine="348"/>
        <w:jc w:val="both"/>
        <w:rPr>
          <w:rFonts w:ascii="Arial" w:eastAsia="Arial Unicode MS" w:hAnsi="Arial" w:cs="Arial"/>
        </w:rPr>
      </w:pPr>
    </w:p>
    <w:p w:rsidR="00313E35" w:rsidRPr="00CB58AD" w:rsidRDefault="00084BD7" w:rsidP="007C3211">
      <w:pPr>
        <w:pBdr>
          <w:top w:val="nil"/>
          <w:left w:val="nil"/>
          <w:bottom w:val="nil"/>
          <w:right w:val="nil"/>
          <w:between w:val="nil"/>
        </w:pBdr>
        <w:ind w:left="360" w:firstLine="348"/>
        <w:jc w:val="both"/>
        <w:rPr>
          <w:rFonts w:ascii="Arial" w:eastAsia="Arial Unicode MS" w:hAnsi="Arial" w:cs="Arial"/>
        </w:rPr>
      </w:pPr>
      <w:r w:rsidRPr="00CB58AD">
        <w:rPr>
          <w:rFonts w:ascii="Arial" w:eastAsia="Arial Unicode MS" w:hAnsi="Arial" w:cs="Arial"/>
        </w:rPr>
        <w:t xml:space="preserve">Les résultats de cette étude </w:t>
      </w:r>
      <w:r w:rsidR="00377991" w:rsidRPr="00CB58AD">
        <w:rPr>
          <w:rFonts w:ascii="Arial" w:eastAsia="Arial Unicode MS" w:hAnsi="Arial" w:cs="Arial"/>
        </w:rPr>
        <w:t xml:space="preserve">multicentrique française réalisée sous l’égide du BIMHO </w:t>
      </w:r>
      <w:r w:rsidR="00836122" w:rsidRPr="00CB58AD">
        <w:rPr>
          <w:rFonts w:ascii="Arial" w:eastAsia="Arial Unicode MS" w:hAnsi="Arial" w:cs="Arial"/>
        </w:rPr>
        <w:t>ont été publiés</w:t>
      </w:r>
      <w:r w:rsidR="00377991" w:rsidRPr="00CB58AD">
        <w:rPr>
          <w:rFonts w:ascii="Arial" w:eastAsia="Arial Unicode MS" w:hAnsi="Arial" w:cs="Arial"/>
        </w:rPr>
        <w:t> :</w:t>
      </w:r>
    </w:p>
    <w:p w:rsidR="00AE0F9C" w:rsidRPr="00CB58AD" w:rsidRDefault="0060357E" w:rsidP="007C3211">
      <w:pPr>
        <w:pBdr>
          <w:top w:val="nil"/>
          <w:left w:val="nil"/>
          <w:bottom w:val="nil"/>
          <w:right w:val="nil"/>
          <w:between w:val="nil"/>
        </w:pBdr>
        <w:ind w:left="360" w:firstLine="348"/>
        <w:jc w:val="both"/>
        <w:rPr>
          <w:rFonts w:ascii="Arial" w:hAnsi="Arial" w:cs="Arial"/>
          <w:b/>
          <w:i/>
          <w:shd w:val="clear" w:color="auto" w:fill="FFFFFF"/>
        </w:rPr>
      </w:pPr>
      <w:r w:rsidRPr="00CB58AD">
        <w:rPr>
          <w:rFonts w:ascii="Arial" w:hAnsi="Arial" w:cs="Arial"/>
          <w:b/>
          <w:i/>
          <w:shd w:val="clear" w:color="auto" w:fill="FFFFFF"/>
        </w:rPr>
        <w:t>Le Cam Duchez V et al. Cross-reactivity of human anti-FVIII antibodies to porcine rFVIII: French field study to validate the modified Nijmegen method. Int J Lab Hematol. 2024; 1–5</w:t>
      </w:r>
    </w:p>
    <w:p w:rsidR="0060357E" w:rsidRPr="00CB58AD" w:rsidRDefault="0060357E" w:rsidP="00313E35">
      <w:pPr>
        <w:pBdr>
          <w:top w:val="nil"/>
          <w:left w:val="nil"/>
          <w:bottom w:val="nil"/>
          <w:right w:val="nil"/>
          <w:between w:val="nil"/>
        </w:pBdr>
        <w:jc w:val="both"/>
        <w:rPr>
          <w:rFonts w:ascii="Arial" w:eastAsia="Arial Unicode MS" w:hAnsi="Arial" w:cs="Arial"/>
        </w:rPr>
      </w:pPr>
    </w:p>
    <w:p w:rsidR="00D26888" w:rsidRPr="00CB58AD" w:rsidRDefault="00D26888" w:rsidP="00D26888">
      <w:pPr>
        <w:pStyle w:val="Paragraphedeliste"/>
        <w:numPr>
          <w:ilvl w:val="0"/>
          <w:numId w:val="5"/>
        </w:numPr>
        <w:rPr>
          <w:rFonts w:ascii="Arial" w:hAnsi="Arial" w:cs="Arial"/>
          <w:color w:val="000000"/>
          <w:sz w:val="28"/>
          <w:szCs w:val="28"/>
        </w:rPr>
      </w:pPr>
      <w:r w:rsidRPr="00CB58AD">
        <w:rPr>
          <w:rFonts w:ascii="Arial" w:hAnsi="Arial" w:cs="Arial"/>
          <w:b/>
          <w:bCs/>
          <w:color w:val="FF0000"/>
          <w:sz w:val="28"/>
          <w:szCs w:val="28"/>
          <w:shd w:val="clear" w:color="auto" w:fill="FFFFFF"/>
        </w:rPr>
        <w:t>Etude CALSPE9 : Intérêt d’une calibration spécifique pour la surveillance biologique des patients hémophiles B traités par Facteur IX (FIX) à demi-vie prolongée</w:t>
      </w:r>
      <w:r w:rsidRPr="00CB58AD">
        <w:rPr>
          <w:rFonts w:ascii="Arial" w:hAnsi="Arial" w:cs="Arial"/>
          <w:b/>
          <w:bCs/>
          <w:color w:val="000000"/>
          <w:sz w:val="28"/>
          <w:szCs w:val="28"/>
          <w:shd w:val="clear" w:color="auto" w:fill="FFFFFF"/>
        </w:rPr>
        <w:t xml:space="preserve">. </w:t>
      </w:r>
      <w:r w:rsidRPr="00CB58AD">
        <w:rPr>
          <w:rFonts w:ascii="Arial" w:hAnsi="Arial" w:cs="Arial"/>
          <w:color w:val="000000"/>
          <w:sz w:val="28"/>
          <w:szCs w:val="28"/>
        </w:rPr>
        <w:t>C. Nougier, F. Grand, F. Blanc-Jouvan </w:t>
      </w:r>
    </w:p>
    <w:p w:rsidR="00D26888" w:rsidRPr="00CB58AD" w:rsidRDefault="00666310" w:rsidP="00D26888">
      <w:pPr>
        <w:pStyle w:val="Paragraphedeliste"/>
        <w:shd w:val="clear" w:color="auto" w:fill="FFFFFF"/>
        <w:spacing w:before="100" w:beforeAutospacing="1" w:after="100" w:afterAutospacing="1"/>
        <w:ind w:left="360"/>
        <w:jc w:val="both"/>
        <w:rPr>
          <w:rFonts w:ascii="Arial" w:hAnsi="Arial" w:cs="Arial"/>
          <w:color w:val="000000"/>
        </w:rPr>
      </w:pPr>
      <w:r w:rsidRPr="00CB58AD">
        <w:rPr>
          <w:rFonts w:ascii="Arial" w:hAnsi="Arial" w:cs="Arial"/>
          <w:color w:val="000000"/>
        </w:rPr>
        <w:t xml:space="preserve">Cette étude </w:t>
      </w:r>
      <w:r w:rsidR="00377991" w:rsidRPr="00CB58AD">
        <w:rPr>
          <w:rFonts w:ascii="Arial" w:eastAsia="Arial Unicode MS" w:hAnsi="Arial" w:cs="Arial"/>
        </w:rPr>
        <w:t xml:space="preserve">multicentrique française réalisée sous l’égide du BIMHO </w:t>
      </w:r>
      <w:r w:rsidRPr="00CB58AD">
        <w:rPr>
          <w:rFonts w:ascii="Arial" w:hAnsi="Arial" w:cs="Arial"/>
          <w:color w:val="000000"/>
        </w:rPr>
        <w:t>a</w:t>
      </w:r>
      <w:r w:rsidR="00D26888" w:rsidRPr="00CB58AD">
        <w:rPr>
          <w:rFonts w:ascii="Arial" w:hAnsi="Arial" w:cs="Arial"/>
          <w:color w:val="000000"/>
        </w:rPr>
        <w:t xml:space="preserve"> été présenté</w:t>
      </w:r>
      <w:r w:rsidR="00377991" w:rsidRPr="00CB58AD">
        <w:rPr>
          <w:rFonts w:ascii="Arial" w:hAnsi="Arial" w:cs="Arial"/>
          <w:color w:val="000000"/>
        </w:rPr>
        <w:t>e</w:t>
      </w:r>
      <w:r w:rsidR="00D26888" w:rsidRPr="00CB58AD">
        <w:rPr>
          <w:rFonts w:ascii="Arial" w:hAnsi="Arial" w:cs="Arial"/>
          <w:color w:val="000000"/>
        </w:rPr>
        <w:t xml:space="preserve"> en communication orale au CFH</w:t>
      </w:r>
      <w:r w:rsidRPr="00CB58AD">
        <w:rPr>
          <w:rFonts w:ascii="Arial" w:hAnsi="Arial" w:cs="Arial"/>
          <w:color w:val="000000"/>
        </w:rPr>
        <w:t xml:space="preserve"> Lille 2024.</w:t>
      </w:r>
    </w:p>
    <w:p w:rsidR="00D26888" w:rsidRPr="00CB58AD" w:rsidRDefault="00D26888" w:rsidP="00FE6D63">
      <w:pPr>
        <w:pStyle w:val="Paragraphedeliste"/>
        <w:shd w:val="clear" w:color="auto" w:fill="FFFFFF"/>
        <w:spacing w:before="100" w:beforeAutospacing="1" w:after="100" w:afterAutospacing="1"/>
        <w:ind w:left="357"/>
        <w:contextualSpacing/>
        <w:jc w:val="both"/>
        <w:rPr>
          <w:rFonts w:ascii="Arial" w:hAnsi="Arial" w:cs="Arial"/>
          <w:color w:val="000000"/>
        </w:rPr>
      </w:pPr>
      <w:r w:rsidRPr="00CB58AD">
        <w:rPr>
          <w:rFonts w:ascii="Arial" w:hAnsi="Arial" w:cs="Arial"/>
          <w:color w:val="000000"/>
        </w:rPr>
        <w:t>La surveillance biologique des patients hémophiles B traités par FIX à demi-vie prolongée (IXEHL) repose sur la mesure d’activité du FIX (FIX:C). La littérature décrit de nombreuses discordances en fonction des réactifs utilisés pour le FIX :C chronométrique, conduisant parfois pour le suivi biologique à proscrire certains kits pourtant utilisés en routine. Les laboratoires doivent donc disposer de plusieurs méthodologies. CALSPE9 est une étude multicentrique dont l’objectif est d’évaluer l’intérêt d’une calibration spécifique avec différents réactifs pour le dosage chronométrique du FIX :C au cours de la surveillance des patients traités par IXEHL.</w:t>
      </w:r>
    </w:p>
    <w:p w:rsidR="00D26888" w:rsidRPr="00CB58AD" w:rsidRDefault="00CB58AD" w:rsidP="00FE6D63">
      <w:pPr>
        <w:pStyle w:val="Paragraphedeliste"/>
        <w:shd w:val="clear" w:color="auto" w:fill="FFFFFF"/>
        <w:spacing w:before="100" w:beforeAutospacing="1" w:after="100" w:afterAutospacing="1"/>
        <w:ind w:left="357"/>
        <w:contextualSpacing/>
        <w:jc w:val="both"/>
        <w:rPr>
          <w:rFonts w:ascii="Arial" w:hAnsi="Arial" w:cs="Arial"/>
          <w:b/>
          <w:color w:val="000000"/>
        </w:rPr>
      </w:pPr>
      <w:r>
        <w:rPr>
          <w:rFonts w:ascii="Arial" w:hAnsi="Arial" w:cs="Arial"/>
          <w:b/>
          <w:color w:val="000000"/>
        </w:rPr>
        <w:t>Matériels et m</w:t>
      </w:r>
      <w:r w:rsidR="00D26888" w:rsidRPr="00CB58AD">
        <w:rPr>
          <w:rFonts w:ascii="Arial" w:hAnsi="Arial" w:cs="Arial"/>
          <w:b/>
          <w:color w:val="000000"/>
        </w:rPr>
        <w:t>éthodes</w:t>
      </w:r>
      <w:r w:rsidR="00313E35" w:rsidRPr="00CB58AD">
        <w:rPr>
          <w:rFonts w:ascii="Arial" w:hAnsi="Arial" w:cs="Arial"/>
          <w:b/>
          <w:color w:val="000000"/>
        </w:rPr>
        <w:t> :</w:t>
      </w:r>
    </w:p>
    <w:p w:rsidR="00D26888" w:rsidRPr="00CB58AD" w:rsidRDefault="00D26888" w:rsidP="00FE6D63">
      <w:pPr>
        <w:pStyle w:val="Paragraphedeliste"/>
        <w:shd w:val="clear" w:color="auto" w:fill="FFFFFF"/>
        <w:spacing w:before="100" w:beforeAutospacing="1" w:after="100" w:afterAutospacing="1"/>
        <w:ind w:left="357"/>
        <w:contextualSpacing/>
        <w:jc w:val="both"/>
        <w:rPr>
          <w:rFonts w:ascii="Arial" w:hAnsi="Arial" w:cs="Arial"/>
          <w:color w:val="000000"/>
        </w:rPr>
      </w:pPr>
      <w:r w:rsidRPr="00CB58AD">
        <w:rPr>
          <w:rFonts w:ascii="Arial" w:hAnsi="Arial" w:cs="Arial"/>
          <w:color w:val="000000"/>
        </w:rPr>
        <w:t xml:space="preserve">Des calibrants en IXEHL et échantillons ont été préparés au laboratoire central (Lyon) à l’aide d’une solution de rIX-RP (Idelvion® 250 UI), de rIX-Fc (Alprolix® 500 UI) ou de rIX (Benefix®250 UI), diluée en plasmas déficients en FIX (Cryopep). Les échantillons contenaient 3 niveaux de rIX-FP (E1 à E3), de rIX-Fc (E4 à E6), ou de rIX (E7 à E9). La cible de chaque échantillon a été déterminée à l’aide des réactifs </w:t>
      </w:r>
      <w:r w:rsidRPr="00CB58AD">
        <w:rPr>
          <w:rFonts w:ascii="Arial" w:hAnsi="Arial" w:cs="Arial"/>
          <w:color w:val="000000"/>
        </w:rPr>
        <w:lastRenderedPageBreak/>
        <w:t>utilisés pour titrer le médicament (Pathromtin LS, Actin FS, aPTTa respectivement). Ces calibrants et échantillons ont été envoyés à 20 laboratoires participants (Annecy, Lille, Dijon, Besançon, Limoge, Paris Bicêtre et Necker, St-Etienne, Versailles, Lyon, Montpellier, Rouen, Toulouse, Strasbourg, Caen, Bordeaux, Nancy, Poitiers, Tours, Marseille).  Le FIX:C a été mesuré par technique chronométrique par chaque centre en triplicata sur 3 séries indépendantes. Le dosage employait une calibration spécifique r-IX-FP (échantillons E1 à E3), une calibration spécifique rIX-Fc (E4 à E6), ou la calibration habituelle (E1 à E9). Les résultats obtenus étaient exprimés en % par rapport à la cible(%C). Un % supérieur à ± 20% est jugé non conforme.</w:t>
      </w:r>
    </w:p>
    <w:p w:rsidR="00313E35" w:rsidRPr="00CB58AD" w:rsidRDefault="00313E35" w:rsidP="00FE6D63">
      <w:pPr>
        <w:pStyle w:val="Paragraphedeliste"/>
        <w:shd w:val="clear" w:color="auto" w:fill="FFFFFF"/>
        <w:spacing w:before="100" w:beforeAutospacing="1" w:after="100" w:afterAutospacing="1"/>
        <w:ind w:left="357"/>
        <w:contextualSpacing/>
        <w:jc w:val="both"/>
        <w:rPr>
          <w:rFonts w:ascii="Arial" w:hAnsi="Arial" w:cs="Arial"/>
          <w:color w:val="000000"/>
        </w:rPr>
      </w:pPr>
    </w:p>
    <w:p w:rsidR="00D26888" w:rsidRPr="00CB58AD" w:rsidRDefault="00D26888" w:rsidP="00FE6D63">
      <w:pPr>
        <w:pStyle w:val="Paragraphedeliste"/>
        <w:shd w:val="clear" w:color="auto" w:fill="FFFFFF"/>
        <w:spacing w:before="100" w:beforeAutospacing="1" w:after="100" w:afterAutospacing="1"/>
        <w:ind w:left="357"/>
        <w:contextualSpacing/>
        <w:outlineLvl w:val="4"/>
        <w:rPr>
          <w:rFonts w:ascii="Arial" w:hAnsi="Arial" w:cs="Arial"/>
          <w:b/>
          <w:bCs/>
          <w:color w:val="000000"/>
        </w:rPr>
      </w:pPr>
      <w:r w:rsidRPr="00CB58AD">
        <w:rPr>
          <w:rFonts w:ascii="Arial" w:hAnsi="Arial" w:cs="Arial"/>
          <w:b/>
          <w:bCs/>
          <w:color w:val="000000"/>
        </w:rPr>
        <w:t>Résultats</w:t>
      </w:r>
      <w:r w:rsidR="00313E35" w:rsidRPr="00CB58AD">
        <w:rPr>
          <w:rFonts w:ascii="Arial" w:hAnsi="Arial" w:cs="Arial"/>
          <w:b/>
          <w:bCs/>
          <w:color w:val="000000"/>
        </w:rPr>
        <w:t> :</w:t>
      </w:r>
    </w:p>
    <w:p w:rsidR="00D26888" w:rsidRPr="00CB58AD" w:rsidRDefault="00D26888" w:rsidP="00FE6D63">
      <w:pPr>
        <w:pStyle w:val="Paragraphedeliste"/>
        <w:shd w:val="clear" w:color="auto" w:fill="FFFFFF"/>
        <w:spacing w:before="100" w:beforeAutospacing="1" w:after="100" w:afterAutospacing="1"/>
        <w:ind w:left="357"/>
        <w:contextualSpacing/>
        <w:outlineLvl w:val="4"/>
        <w:rPr>
          <w:rFonts w:ascii="Arial" w:hAnsi="Arial" w:cs="Arial"/>
          <w:b/>
          <w:bCs/>
          <w:color w:val="000000"/>
        </w:rPr>
      </w:pPr>
      <w:r w:rsidRPr="00CB58AD">
        <w:rPr>
          <w:rFonts w:ascii="Arial" w:hAnsi="Arial" w:cs="Arial"/>
          <w:color w:val="000000"/>
        </w:rPr>
        <w:t>En utilisant la calibration habituelle, les FIX:C étaient significativement différents en fonction des réactifs utilisés (figure 1). Les réactifs CK Prest et Actin FS sous-estimaient de plus de 40% le FIX:C sous rIX-RP. Pour les échantillons contenant du rIX-Fc, le CK Prest, l’APTT HS et le Pathromtin SL sous-estimaient le FIX:C de 39 à 22% (tableau 1). Lorsque la calibration spécifique était utilisée, pour les 3 niveaux de IXEHL, tous les réactifs étaient jugés conformes [% C= 91 à 120%] (tableau 1). Les résultats obtenus n’étaient pas significativement différents entre les laboratoires avec une variabilité inter laboratoire inférieure à celle retrouvée pour le dosage de rIX. Les calibrations spécifiques étaient stables sur les 3 séries indépendantes (CV &lt; 10%) pour tous les laboratoires participants.</w:t>
      </w:r>
    </w:p>
    <w:p w:rsidR="00D26888" w:rsidRPr="00CB58AD" w:rsidRDefault="00D26888" w:rsidP="00666310">
      <w:pPr>
        <w:pStyle w:val="Paragraphedeliste"/>
        <w:ind w:left="360"/>
        <w:rPr>
          <w:rFonts w:ascii="Arial" w:hAnsi="Arial" w:cs="Arial"/>
        </w:rPr>
      </w:pPr>
    </w:p>
    <w:p w:rsidR="00FE6D63" w:rsidRPr="00CB58AD" w:rsidRDefault="00FE6D63" w:rsidP="00666310">
      <w:pPr>
        <w:pStyle w:val="Paragraphedeliste"/>
        <w:ind w:left="360"/>
        <w:rPr>
          <w:rFonts w:ascii="Arial" w:hAnsi="Arial" w:cs="Arial"/>
          <w:b/>
        </w:rPr>
      </w:pPr>
    </w:p>
    <w:p w:rsidR="00D26888" w:rsidRPr="00CB58AD" w:rsidRDefault="00D26888" w:rsidP="00666310">
      <w:pPr>
        <w:pStyle w:val="Paragraphedeliste"/>
        <w:ind w:left="360"/>
        <w:rPr>
          <w:rFonts w:ascii="Arial" w:hAnsi="Arial" w:cs="Arial"/>
          <w:b/>
          <w:color w:val="000000"/>
          <w:shd w:val="clear" w:color="auto" w:fill="FFFFFF"/>
        </w:rPr>
      </w:pPr>
      <w:r w:rsidRPr="00CB58AD">
        <w:rPr>
          <w:rFonts w:ascii="Arial" w:hAnsi="Arial" w:cs="Arial"/>
          <w:b/>
        </w:rPr>
        <w:t xml:space="preserve">Figure 1 : </w:t>
      </w:r>
      <w:r w:rsidRPr="00CB58AD">
        <w:rPr>
          <w:rFonts w:ascii="Arial" w:hAnsi="Arial" w:cs="Arial"/>
          <w:b/>
          <w:color w:val="000000"/>
          <w:shd w:val="clear" w:color="auto" w:fill="FFFFFF"/>
        </w:rPr>
        <w:t>Résultats FIX:C selon les réactifs et calibrations</w:t>
      </w:r>
    </w:p>
    <w:p w:rsidR="00D26888" w:rsidRPr="00CB58AD" w:rsidRDefault="00D26888" w:rsidP="00666310">
      <w:pPr>
        <w:pStyle w:val="Paragraphedeliste"/>
        <w:shd w:val="clear" w:color="auto" w:fill="FFFFFF"/>
        <w:spacing w:before="100" w:beforeAutospacing="1" w:after="100" w:afterAutospacing="1"/>
        <w:ind w:left="360"/>
        <w:jc w:val="both"/>
        <w:rPr>
          <w:rFonts w:ascii="Arial" w:hAnsi="Arial" w:cs="Arial"/>
          <w:color w:val="000000"/>
        </w:rPr>
      </w:pPr>
      <w:r w:rsidRPr="00CB58AD">
        <w:rPr>
          <w:rFonts w:ascii="Arial" w:hAnsi="Arial" w:cs="Arial"/>
          <w:noProof/>
        </w:rPr>
        <w:drawing>
          <wp:inline distT="0" distB="0" distL="0" distR="0" wp14:anchorId="1B9AEE5F" wp14:editId="21B776D9">
            <wp:extent cx="5760720" cy="2326640"/>
            <wp:effectExtent l="0" t="0" r="0" b="0"/>
            <wp:docPr id="4" name="Image 4" descr="C:\Users\nougierch\Desktop\Etudes\CFH 2024\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ugierch\Desktop\Etudes\CFH 2024\Figur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326640"/>
                    </a:xfrm>
                    <a:prstGeom prst="rect">
                      <a:avLst/>
                    </a:prstGeom>
                    <a:noFill/>
                    <a:ln>
                      <a:noFill/>
                    </a:ln>
                  </pic:spPr>
                </pic:pic>
              </a:graphicData>
            </a:graphic>
          </wp:inline>
        </w:drawing>
      </w:r>
    </w:p>
    <w:p w:rsidR="00D26888" w:rsidRPr="00CB58AD" w:rsidRDefault="00D26888" w:rsidP="00FE6D63">
      <w:pPr>
        <w:pStyle w:val="Paragraphedeliste"/>
        <w:shd w:val="clear" w:color="auto" w:fill="FFFFFF"/>
        <w:spacing w:before="100" w:beforeAutospacing="1" w:after="100" w:afterAutospacing="1"/>
        <w:ind w:left="357"/>
        <w:contextualSpacing/>
        <w:outlineLvl w:val="4"/>
        <w:rPr>
          <w:rFonts w:ascii="Arial" w:hAnsi="Arial" w:cs="Arial"/>
          <w:b/>
          <w:bCs/>
          <w:color w:val="000000"/>
        </w:rPr>
      </w:pPr>
      <w:r w:rsidRPr="00CB58AD">
        <w:rPr>
          <w:rFonts w:ascii="Arial" w:hAnsi="Arial" w:cs="Arial"/>
          <w:b/>
          <w:bCs/>
          <w:color w:val="000000"/>
        </w:rPr>
        <w:t>Conclusion</w:t>
      </w:r>
      <w:r w:rsidR="00313E35" w:rsidRPr="00CB58AD">
        <w:rPr>
          <w:rFonts w:ascii="Arial" w:hAnsi="Arial" w:cs="Arial"/>
          <w:b/>
          <w:bCs/>
          <w:color w:val="000000"/>
        </w:rPr>
        <w:t> :</w:t>
      </w:r>
    </w:p>
    <w:p w:rsidR="00D26888" w:rsidRPr="00CB58AD" w:rsidRDefault="00D26888" w:rsidP="00FE6D63">
      <w:pPr>
        <w:pStyle w:val="Paragraphedeliste"/>
        <w:shd w:val="clear" w:color="auto" w:fill="FFFFFF"/>
        <w:spacing w:before="100" w:beforeAutospacing="1" w:after="100" w:afterAutospacing="1"/>
        <w:ind w:left="357"/>
        <w:contextualSpacing/>
        <w:jc w:val="both"/>
        <w:rPr>
          <w:rFonts w:ascii="Arial" w:hAnsi="Arial" w:cs="Arial"/>
          <w:color w:val="000000"/>
        </w:rPr>
      </w:pPr>
      <w:r w:rsidRPr="00CB58AD">
        <w:rPr>
          <w:rFonts w:ascii="Arial" w:hAnsi="Arial" w:cs="Arial"/>
          <w:color w:val="000000"/>
        </w:rPr>
        <w:t>L’étude CALSPE9 démontre l’intérêt de disposer de calibrant spécifique (rIX-RP et rIX-Fc) pour une meilleure justesse et précision des dosages de FIX:C utilisés pour la surveillance biologique des patients traités par IXEHL. Dans cette configuration tous les réactifs peuvent être utilisés évitant la multiplication de référence</w:t>
      </w:r>
      <w:r w:rsidR="00377991" w:rsidRPr="00CB58AD">
        <w:rPr>
          <w:rFonts w:ascii="Arial" w:hAnsi="Arial" w:cs="Arial"/>
          <w:color w:val="000000"/>
        </w:rPr>
        <w:t>s</w:t>
      </w:r>
      <w:r w:rsidRPr="00CB58AD">
        <w:rPr>
          <w:rFonts w:ascii="Arial" w:hAnsi="Arial" w:cs="Arial"/>
          <w:color w:val="000000"/>
        </w:rPr>
        <w:t xml:space="preserve"> et technique</w:t>
      </w:r>
      <w:r w:rsidR="00377991" w:rsidRPr="00CB58AD">
        <w:rPr>
          <w:rFonts w:ascii="Arial" w:hAnsi="Arial" w:cs="Arial"/>
          <w:color w:val="000000"/>
        </w:rPr>
        <w:t>s</w:t>
      </w:r>
      <w:r w:rsidRPr="00CB58AD">
        <w:rPr>
          <w:rFonts w:ascii="Arial" w:hAnsi="Arial" w:cs="Arial"/>
          <w:color w:val="000000"/>
        </w:rPr>
        <w:t xml:space="preserve"> au sein du laboratoire.</w:t>
      </w:r>
    </w:p>
    <w:p w:rsidR="00D26888" w:rsidRPr="00CB58AD" w:rsidRDefault="00D26888" w:rsidP="00666310">
      <w:pPr>
        <w:pStyle w:val="Paragraphedeliste"/>
        <w:pBdr>
          <w:top w:val="nil"/>
          <w:left w:val="nil"/>
          <w:bottom w:val="nil"/>
          <w:right w:val="nil"/>
          <w:between w:val="nil"/>
        </w:pBdr>
        <w:ind w:left="360"/>
        <w:jc w:val="both"/>
        <w:rPr>
          <w:rFonts w:ascii="Arial" w:eastAsia="Arial Unicode MS" w:hAnsi="Arial" w:cs="Arial"/>
        </w:rPr>
      </w:pPr>
    </w:p>
    <w:p w:rsidR="00836122" w:rsidRPr="00CB58AD" w:rsidRDefault="00836122" w:rsidP="00666310">
      <w:pPr>
        <w:pStyle w:val="Paragraphedeliste"/>
        <w:numPr>
          <w:ilvl w:val="0"/>
          <w:numId w:val="5"/>
        </w:numPr>
        <w:pBdr>
          <w:top w:val="nil"/>
          <w:left w:val="nil"/>
          <w:bottom w:val="nil"/>
          <w:right w:val="nil"/>
          <w:between w:val="nil"/>
        </w:pBdr>
        <w:jc w:val="both"/>
        <w:rPr>
          <w:rFonts w:ascii="Arial" w:eastAsia="Arial Unicode MS" w:hAnsi="Arial" w:cs="Arial"/>
          <w:b/>
          <w:sz w:val="28"/>
          <w:szCs w:val="28"/>
        </w:rPr>
      </w:pPr>
      <w:r w:rsidRPr="00CB58AD">
        <w:rPr>
          <w:rFonts w:ascii="Arial" w:eastAsia="Arial Unicode MS" w:hAnsi="Arial" w:cs="Arial"/>
          <w:b/>
          <w:color w:val="FF0000"/>
          <w:sz w:val="28"/>
          <w:szCs w:val="28"/>
        </w:rPr>
        <w:lastRenderedPageBreak/>
        <w:t>Les projets en cours</w:t>
      </w:r>
      <w:r w:rsidRPr="00CB58AD">
        <w:rPr>
          <w:rFonts w:ascii="Arial" w:eastAsia="Arial Unicode MS" w:hAnsi="Arial" w:cs="Arial"/>
          <w:color w:val="FF0000"/>
          <w:sz w:val="28"/>
          <w:szCs w:val="28"/>
        </w:rPr>
        <w:t xml:space="preserve"> </w:t>
      </w:r>
      <w:r w:rsidRPr="00CB58AD">
        <w:rPr>
          <w:rFonts w:ascii="Arial" w:eastAsia="Arial Unicode MS" w:hAnsi="Arial" w:cs="Arial"/>
          <w:sz w:val="28"/>
          <w:szCs w:val="28"/>
        </w:rPr>
        <w:t>:</w:t>
      </w:r>
      <w:r w:rsidR="00666310" w:rsidRPr="00CB58AD">
        <w:rPr>
          <w:rFonts w:ascii="Arial" w:eastAsia="Arial Unicode MS" w:hAnsi="Arial" w:cs="Arial"/>
          <w:sz w:val="28"/>
          <w:szCs w:val="28"/>
        </w:rPr>
        <w:t xml:space="preserve"> </w:t>
      </w:r>
      <w:r w:rsidR="00774DD5" w:rsidRPr="00CB58AD">
        <w:rPr>
          <w:rFonts w:ascii="Arial" w:hAnsi="Arial" w:cs="Arial"/>
          <w:b/>
          <w:bCs/>
          <w:color w:val="FF0000"/>
          <w:sz w:val="28"/>
          <w:szCs w:val="28"/>
        </w:rPr>
        <w:t>Le Facteur VIII CSA dans ses valeurs basses :</w:t>
      </w:r>
      <w:r w:rsidR="000A5414" w:rsidRPr="00CB58AD">
        <w:rPr>
          <w:rFonts w:ascii="Arial" w:hAnsi="Arial" w:cs="Arial"/>
          <w:b/>
          <w:bCs/>
          <w:color w:val="FF0000"/>
          <w:sz w:val="28"/>
          <w:szCs w:val="28"/>
        </w:rPr>
        <w:t xml:space="preserve"> </w:t>
      </w:r>
      <w:r w:rsidR="000A5414" w:rsidRPr="00CB58AD">
        <w:rPr>
          <w:rFonts w:ascii="Arial" w:hAnsi="Arial" w:cs="Arial"/>
          <w:b/>
          <w:bCs/>
          <w:color w:val="000000" w:themeColor="text1"/>
          <w:sz w:val="28"/>
          <w:szCs w:val="28"/>
        </w:rPr>
        <w:t>Claire Flaujac, Emmanuelle</w:t>
      </w:r>
      <w:r w:rsidR="006468F7" w:rsidRPr="00CB58AD">
        <w:rPr>
          <w:rFonts w:ascii="Arial" w:hAnsi="Arial" w:cs="Arial"/>
          <w:b/>
          <w:bCs/>
          <w:color w:val="000000" w:themeColor="text1"/>
          <w:sz w:val="28"/>
          <w:szCs w:val="28"/>
        </w:rPr>
        <w:t xml:space="preserve"> </w:t>
      </w:r>
      <w:r w:rsidR="000A5414" w:rsidRPr="00CB58AD">
        <w:rPr>
          <w:rFonts w:ascii="Arial" w:hAnsi="Arial" w:cs="Arial"/>
          <w:b/>
          <w:bCs/>
          <w:color w:val="000000" w:themeColor="text1"/>
          <w:sz w:val="28"/>
          <w:szCs w:val="28"/>
        </w:rPr>
        <w:t xml:space="preserve">Jeanpierre, Dominique Lasne et Eve Anne </w:t>
      </w:r>
      <w:r w:rsidR="00774DD5" w:rsidRPr="00CB58AD">
        <w:rPr>
          <w:rFonts w:ascii="Arial" w:hAnsi="Arial" w:cs="Arial"/>
          <w:b/>
          <w:bCs/>
          <w:color w:val="000000" w:themeColor="text1"/>
          <w:sz w:val="28"/>
          <w:szCs w:val="28"/>
        </w:rPr>
        <w:t>Guéry</w:t>
      </w:r>
    </w:p>
    <w:p w:rsidR="00FE7028" w:rsidRPr="00CB58AD" w:rsidRDefault="00FE7028" w:rsidP="00FE7028">
      <w:pPr>
        <w:ind w:left="360"/>
        <w:jc w:val="both"/>
        <w:rPr>
          <w:rFonts w:ascii="Arial" w:hAnsi="Arial" w:cs="Arial"/>
          <w:b/>
          <w:sz w:val="28"/>
          <w:szCs w:val="28"/>
        </w:rPr>
      </w:pPr>
    </w:p>
    <w:p w:rsidR="00313E35" w:rsidRPr="00CB58AD" w:rsidRDefault="00313E35" w:rsidP="00313E35">
      <w:pPr>
        <w:pStyle w:val="Paragraphedeliste"/>
        <w:shd w:val="clear" w:color="auto" w:fill="FFFFFF"/>
        <w:spacing w:before="100" w:beforeAutospacing="1" w:after="100" w:afterAutospacing="1"/>
        <w:ind w:left="720"/>
        <w:jc w:val="both"/>
        <w:rPr>
          <w:rFonts w:ascii="Arial" w:hAnsi="Arial" w:cs="Arial"/>
          <w:color w:val="000000"/>
        </w:rPr>
      </w:pPr>
      <w:r w:rsidRPr="00CB58AD">
        <w:rPr>
          <w:rFonts w:ascii="Arial" w:hAnsi="Arial" w:cs="Arial"/>
          <w:color w:val="000000"/>
        </w:rPr>
        <w:t>Ce travail collaboratif est présenté en communication orale au SFTH 2024 et est en cours de rédaction pour publication.</w:t>
      </w:r>
    </w:p>
    <w:p w:rsidR="00FE7028" w:rsidRPr="00CB58AD" w:rsidRDefault="00FE7028" w:rsidP="00FE7028">
      <w:pPr>
        <w:ind w:left="360" w:firstLine="348"/>
        <w:jc w:val="both"/>
        <w:rPr>
          <w:rFonts w:ascii="Arial" w:hAnsi="Arial" w:cs="Arial"/>
        </w:rPr>
      </w:pPr>
      <w:r w:rsidRPr="00CB58AD">
        <w:rPr>
          <w:rFonts w:ascii="Arial" w:hAnsi="Arial" w:cs="Arial"/>
        </w:rPr>
        <w:t>L’objectif de ce</w:t>
      </w:r>
      <w:r w:rsidR="00377991" w:rsidRPr="00CB58AD">
        <w:rPr>
          <w:rFonts w:ascii="Arial" w:hAnsi="Arial" w:cs="Arial"/>
        </w:rPr>
        <w:t xml:space="preserve">tte </w:t>
      </w:r>
      <w:r w:rsidR="00377991" w:rsidRPr="00CB58AD">
        <w:rPr>
          <w:rFonts w:ascii="Arial" w:eastAsia="Arial Unicode MS" w:hAnsi="Arial" w:cs="Arial"/>
        </w:rPr>
        <w:t xml:space="preserve">étude multicentrique française réalisée sous l’égide du BIMHO </w:t>
      </w:r>
      <w:r w:rsidR="007919F6" w:rsidRPr="00CB58AD">
        <w:rPr>
          <w:rFonts w:ascii="Arial" w:hAnsi="Arial" w:cs="Arial"/>
        </w:rPr>
        <w:t>ét</w:t>
      </w:r>
      <w:r w:rsidR="00377991" w:rsidRPr="00CB58AD">
        <w:rPr>
          <w:rFonts w:ascii="Arial" w:hAnsi="Arial" w:cs="Arial"/>
        </w:rPr>
        <w:t xml:space="preserve">ait </w:t>
      </w:r>
      <w:r w:rsidR="007919F6" w:rsidRPr="00CB58AD">
        <w:rPr>
          <w:rFonts w:ascii="Arial" w:hAnsi="Arial" w:cs="Arial"/>
        </w:rPr>
        <w:t>de</w:t>
      </w:r>
      <w:r w:rsidRPr="00CB58AD">
        <w:rPr>
          <w:rFonts w:ascii="Arial" w:hAnsi="Arial" w:cs="Arial"/>
        </w:rPr>
        <w:t xml:space="preserve"> déterminer la limite basse de quantification (L</w:t>
      </w:r>
      <w:r w:rsidR="00377991" w:rsidRPr="00CB58AD">
        <w:rPr>
          <w:rFonts w:ascii="Arial" w:hAnsi="Arial" w:cs="Arial"/>
        </w:rPr>
        <w:t>L</w:t>
      </w:r>
      <w:r w:rsidRPr="00CB58AD">
        <w:rPr>
          <w:rFonts w:ascii="Arial" w:hAnsi="Arial" w:cs="Arial"/>
        </w:rPr>
        <w:t xml:space="preserve">OQ) du facteur VIII par méthode chromogènique. </w:t>
      </w:r>
    </w:p>
    <w:p w:rsidR="00313E35" w:rsidRPr="00CB58AD" w:rsidRDefault="00313E35" w:rsidP="00FE7028">
      <w:pPr>
        <w:ind w:left="360" w:firstLine="348"/>
        <w:jc w:val="both"/>
        <w:rPr>
          <w:rFonts w:ascii="Arial" w:hAnsi="Arial" w:cs="Arial"/>
        </w:rPr>
      </w:pPr>
    </w:p>
    <w:p w:rsidR="00313E35" w:rsidRPr="00CB58AD" w:rsidRDefault="00313E35" w:rsidP="00FE7028">
      <w:pPr>
        <w:ind w:left="360" w:firstLine="348"/>
        <w:jc w:val="both"/>
        <w:rPr>
          <w:rFonts w:ascii="Arial" w:hAnsi="Arial" w:cs="Arial"/>
        </w:rPr>
      </w:pPr>
    </w:p>
    <w:p w:rsidR="00FE7028" w:rsidRPr="00CB58AD" w:rsidRDefault="00FE7028" w:rsidP="00FE7028">
      <w:pPr>
        <w:ind w:firstLine="360"/>
        <w:jc w:val="both"/>
        <w:rPr>
          <w:rFonts w:ascii="Arial" w:hAnsi="Arial" w:cs="Arial"/>
          <w:b/>
        </w:rPr>
      </w:pPr>
      <w:r w:rsidRPr="00CB58AD">
        <w:rPr>
          <w:rFonts w:ascii="Arial" w:hAnsi="Arial" w:cs="Arial"/>
          <w:b/>
        </w:rPr>
        <w:t>Matériel et méthodes</w:t>
      </w:r>
      <w:r w:rsidR="00313E35" w:rsidRPr="00CB58AD">
        <w:rPr>
          <w:rFonts w:ascii="Arial" w:hAnsi="Arial" w:cs="Arial"/>
          <w:b/>
        </w:rPr>
        <w:t> :</w:t>
      </w:r>
    </w:p>
    <w:p w:rsidR="00FE7028" w:rsidRPr="00CB58AD" w:rsidRDefault="00FE7028" w:rsidP="00FE7028">
      <w:pPr>
        <w:ind w:left="360"/>
        <w:jc w:val="both"/>
        <w:rPr>
          <w:rFonts w:ascii="Arial" w:hAnsi="Arial" w:cs="Arial"/>
        </w:rPr>
      </w:pPr>
      <w:r w:rsidRPr="00CB58AD">
        <w:rPr>
          <w:rFonts w:ascii="Arial" w:hAnsi="Arial" w:cs="Arial"/>
        </w:rPr>
        <w:t>La détermination de la L</w:t>
      </w:r>
      <w:r w:rsidR="00377991" w:rsidRPr="00CB58AD">
        <w:rPr>
          <w:rFonts w:ascii="Arial" w:hAnsi="Arial" w:cs="Arial"/>
        </w:rPr>
        <w:t>L</w:t>
      </w:r>
      <w:r w:rsidRPr="00CB58AD">
        <w:rPr>
          <w:rFonts w:ascii="Arial" w:hAnsi="Arial" w:cs="Arial"/>
        </w:rPr>
        <w:t>OQ de 4 réactifs différents Biophen</w:t>
      </w:r>
      <w:r w:rsidRPr="00CB58AD">
        <w:rPr>
          <w:rFonts w:ascii="Arial" w:hAnsi="Arial" w:cs="Arial"/>
          <w:vertAlign w:val="superscript"/>
        </w:rPr>
        <w:t>®</w:t>
      </w:r>
      <w:r w:rsidRPr="00CB58AD">
        <w:rPr>
          <w:rFonts w:ascii="Arial" w:hAnsi="Arial" w:cs="Arial"/>
        </w:rPr>
        <w:t xml:space="preserve"> FVIII:C (Hyphen Biomed), FVIII chromogenic assay</w:t>
      </w:r>
      <w:r w:rsidRPr="00CB58AD">
        <w:rPr>
          <w:rFonts w:ascii="Arial" w:hAnsi="Arial" w:cs="Arial"/>
          <w:vertAlign w:val="superscript"/>
        </w:rPr>
        <w:t>®</w:t>
      </w:r>
      <w:r w:rsidRPr="00CB58AD">
        <w:rPr>
          <w:rFonts w:ascii="Arial" w:hAnsi="Arial" w:cs="Arial"/>
        </w:rPr>
        <w:t>(Siemens), Coamatic</w:t>
      </w:r>
      <w:r w:rsidRPr="00CB58AD">
        <w:rPr>
          <w:rFonts w:ascii="Arial" w:hAnsi="Arial" w:cs="Arial"/>
          <w:vertAlign w:val="superscript"/>
        </w:rPr>
        <w:t>®</w:t>
      </w:r>
      <w:r w:rsidRPr="00CB58AD">
        <w:rPr>
          <w:rFonts w:ascii="Arial" w:hAnsi="Arial" w:cs="Arial"/>
        </w:rPr>
        <w:t xml:space="preserve"> FVIII (Chromogenix) et TriniCHROM</w:t>
      </w:r>
      <w:r w:rsidRPr="00CB58AD">
        <w:rPr>
          <w:rFonts w:ascii="Arial" w:hAnsi="Arial" w:cs="Arial"/>
          <w:vertAlign w:val="superscript"/>
        </w:rPr>
        <w:t>®</w:t>
      </w:r>
      <w:r w:rsidRPr="00CB58AD">
        <w:rPr>
          <w:rFonts w:ascii="Arial" w:hAnsi="Arial" w:cs="Arial"/>
        </w:rPr>
        <w:t xml:space="preserve"> FVIII :C (Tcoag)a été réalisée dans 12 centres à l’aide d’un même lot de pool de plasmas normaux (CRYOcheck</w:t>
      </w:r>
      <w:r w:rsidRPr="00CB58AD">
        <w:rPr>
          <w:rFonts w:ascii="Arial" w:hAnsi="Arial" w:cs="Arial"/>
          <w:vertAlign w:val="superscript"/>
        </w:rPr>
        <w:t>®</w:t>
      </w:r>
      <w:r w:rsidRPr="00CB58AD">
        <w:rPr>
          <w:rFonts w:ascii="Arial" w:hAnsi="Arial" w:cs="Arial"/>
        </w:rPr>
        <w:t>) sur automates à détection optique (Werfen/Sysmex) ou mécanique (Stago). Après détermination du taux de FVIII:C dans le CRYOCheck</w:t>
      </w:r>
      <w:r w:rsidRPr="00CB58AD">
        <w:rPr>
          <w:rFonts w:ascii="Arial" w:hAnsi="Arial" w:cs="Arial"/>
          <w:vertAlign w:val="superscript"/>
        </w:rPr>
        <w:t>®</w:t>
      </w:r>
      <w:r w:rsidRPr="00CB58AD">
        <w:rPr>
          <w:rFonts w:ascii="Arial" w:hAnsi="Arial" w:cs="Arial"/>
        </w:rPr>
        <w:t xml:space="preserve">, 10 dilutions ont été réalisées dans un plasma déficient en FVIII pour couvrir un domaine de mesure de 0 à 30 UI/dL (tableau 1). Chaque échantillon était mesuré 5 fois pour les taux théoriques &lt;5 UI/dL et au moins 3 fois pour les taux </w:t>
      </w:r>
      <w:r w:rsidRPr="00CB58AD">
        <w:rPr>
          <w:rFonts w:ascii="Arial" w:hAnsi="Arial" w:cs="Arial"/>
          <w:u w:val="single"/>
        </w:rPr>
        <w:t>&gt;</w:t>
      </w:r>
      <w:r w:rsidRPr="00CB58AD">
        <w:rPr>
          <w:rFonts w:ascii="Arial" w:hAnsi="Arial" w:cs="Arial"/>
        </w:rPr>
        <w:t>5 UI/dL, permettant le calcul d’un coefficient de variation (CV) et le calcul de l’écart à la valeur cible ((moyenne-valeur cible)/(moyenne+valeur cible)/2)*100). La LLOQ a été définie, selon les critères proposés par le SH GTA 04 V02, comme la plus petite concentration avec un écart à la valeur cible acceptable ≤ 10%</w:t>
      </w:r>
      <w:r w:rsidRPr="00CB58AD">
        <w:rPr>
          <w:rFonts w:ascii="Arial" w:hAnsi="Arial" w:cs="Arial"/>
          <w:color w:val="000000"/>
        </w:rPr>
        <w:t xml:space="preserve"> et un CV</w:t>
      </w:r>
      <w:r w:rsidRPr="00CB58AD">
        <w:rPr>
          <w:rFonts w:ascii="Arial" w:hAnsi="Arial" w:cs="Arial"/>
        </w:rPr>
        <w:t xml:space="preserve">≤ 10%. Pour une valeur cible &lt;1UI/dL, nous avons retenu la capacité du test à distinguer un taux de FVIII :C &lt; ou </w:t>
      </w:r>
      <w:r w:rsidRPr="00CB58AD">
        <w:rPr>
          <w:rFonts w:ascii="Arial" w:hAnsi="Arial" w:cs="Arial"/>
          <w:u w:val="single"/>
        </w:rPr>
        <w:t>&gt;</w:t>
      </w:r>
      <w:r w:rsidRPr="00CB58AD">
        <w:rPr>
          <w:rFonts w:ascii="Arial" w:hAnsi="Arial" w:cs="Arial"/>
        </w:rPr>
        <w:t>1UI/dL, sans exigence sur le CV.</w:t>
      </w:r>
    </w:p>
    <w:p w:rsidR="00FE7028" w:rsidRPr="00CB58AD" w:rsidRDefault="00FE7028" w:rsidP="00FE7028">
      <w:pPr>
        <w:ind w:firstLine="360"/>
        <w:jc w:val="both"/>
        <w:rPr>
          <w:rFonts w:ascii="Arial" w:hAnsi="Arial" w:cs="Arial"/>
          <w:b/>
        </w:rPr>
      </w:pPr>
      <w:r w:rsidRPr="00CB58AD">
        <w:rPr>
          <w:rFonts w:ascii="Arial" w:hAnsi="Arial" w:cs="Arial"/>
          <w:b/>
        </w:rPr>
        <w:t>Résultats</w:t>
      </w:r>
      <w:r w:rsidR="00313E35" w:rsidRPr="00CB58AD">
        <w:rPr>
          <w:rFonts w:ascii="Arial" w:hAnsi="Arial" w:cs="Arial"/>
          <w:b/>
        </w:rPr>
        <w:t> :</w:t>
      </w:r>
    </w:p>
    <w:p w:rsidR="00FE7028" w:rsidRPr="00CB58AD" w:rsidRDefault="00FE7028" w:rsidP="00FE7028">
      <w:pPr>
        <w:ind w:left="360"/>
        <w:jc w:val="both"/>
        <w:rPr>
          <w:rFonts w:ascii="Arial" w:hAnsi="Arial" w:cs="Arial"/>
        </w:rPr>
      </w:pPr>
      <w:r w:rsidRPr="00CB58AD">
        <w:rPr>
          <w:rFonts w:ascii="Arial" w:hAnsi="Arial" w:cs="Arial"/>
        </w:rPr>
        <w:t>Les taux de FVIII :C du CRYOcheck</w:t>
      </w:r>
      <w:r w:rsidRPr="00CB58AD">
        <w:rPr>
          <w:rFonts w:ascii="Arial" w:hAnsi="Arial" w:cs="Arial"/>
          <w:vertAlign w:val="superscript"/>
        </w:rPr>
        <w:t>®</w:t>
      </w:r>
      <w:r w:rsidRPr="00CB58AD">
        <w:rPr>
          <w:rFonts w:ascii="Arial" w:hAnsi="Arial" w:cs="Arial"/>
        </w:rPr>
        <w:t xml:space="preserve"> sont compris entre 78 et 108 UI/dL (moyenne 102 ± 10,1 UI/dL). Les LLOQ déterminées pour les 4 coffrets sont présentées dans le tableau 2. Le réactif Biophen</w:t>
      </w:r>
      <w:r w:rsidRPr="00CB58AD">
        <w:rPr>
          <w:rFonts w:ascii="Arial" w:hAnsi="Arial" w:cs="Arial"/>
          <w:vertAlign w:val="superscript"/>
        </w:rPr>
        <w:t>®</w:t>
      </w:r>
      <w:r w:rsidRPr="00CB58AD">
        <w:rPr>
          <w:rFonts w:ascii="Arial" w:hAnsi="Arial" w:cs="Arial"/>
        </w:rPr>
        <w:t xml:space="preserve"> FVIII:C permet d’obtenir une LLOQ &lt;1UI/dL dans 4/6 centres. Avec le réactif FVIII chromogenic assay® et TriniCHROM</w:t>
      </w:r>
      <w:r w:rsidRPr="00CB58AD">
        <w:rPr>
          <w:rFonts w:ascii="Arial" w:hAnsi="Arial" w:cs="Arial"/>
          <w:vertAlign w:val="superscript"/>
        </w:rPr>
        <w:t>®</w:t>
      </w:r>
      <w:r w:rsidRPr="00CB58AD">
        <w:rPr>
          <w:rFonts w:ascii="Arial" w:hAnsi="Arial" w:cs="Arial"/>
        </w:rPr>
        <w:t xml:space="preserve"> FVIII :C, les LLOQ sont systématiquement &gt;1UI/dL. Les LLOQ obtenues avec le réactif Coamatic</w:t>
      </w:r>
      <w:r w:rsidRPr="00CB58AD">
        <w:rPr>
          <w:rFonts w:ascii="Arial" w:hAnsi="Arial" w:cs="Arial"/>
          <w:vertAlign w:val="superscript"/>
        </w:rPr>
        <w:t>®</w:t>
      </w:r>
      <w:r w:rsidRPr="00CB58AD">
        <w:rPr>
          <w:rFonts w:ascii="Arial" w:hAnsi="Arial" w:cs="Arial"/>
        </w:rPr>
        <w:t xml:space="preserve"> FVIII sont, en revanche, très élevées (moyenne 15,2 ± 8,4 UI/dL). Face à ce résultat surprenant et compte tenu des bons retours des résultats de l’ECAT dans ces centres pour des échantillons avec FVIII :C ≈ 1UI/dL, 3 centres ont adapté le protocole, en diluant le CRYOcheck</w:t>
      </w:r>
      <w:r w:rsidRPr="00CB58AD">
        <w:rPr>
          <w:rFonts w:ascii="Arial" w:hAnsi="Arial" w:cs="Arial"/>
          <w:vertAlign w:val="superscript"/>
        </w:rPr>
        <w:t>®</w:t>
      </w:r>
      <w:r w:rsidRPr="00CB58AD">
        <w:rPr>
          <w:rFonts w:ascii="Arial" w:hAnsi="Arial" w:cs="Arial"/>
        </w:rPr>
        <w:t xml:space="preserve"> dans le tampon de dilution du coffret plutôt que dans du déficient en FVIII, permettant alors d’obtenir des LLOQ &lt;1UI/dL.</w:t>
      </w:r>
    </w:p>
    <w:p w:rsidR="00313E35" w:rsidRPr="00CB58AD" w:rsidRDefault="00313E35" w:rsidP="001F630C">
      <w:pPr>
        <w:ind w:left="360"/>
        <w:jc w:val="both"/>
        <w:rPr>
          <w:rFonts w:ascii="Arial" w:hAnsi="Arial" w:cs="Arial"/>
          <w:b/>
        </w:rPr>
      </w:pPr>
    </w:p>
    <w:p w:rsidR="00FE7028" w:rsidRPr="00CB58AD" w:rsidRDefault="001F630C" w:rsidP="001F630C">
      <w:pPr>
        <w:ind w:left="360"/>
        <w:jc w:val="both"/>
        <w:rPr>
          <w:rFonts w:ascii="Arial" w:hAnsi="Arial" w:cs="Arial"/>
        </w:rPr>
      </w:pPr>
      <w:r w:rsidRPr="00CB58AD">
        <w:rPr>
          <w:rFonts w:ascii="Arial" w:hAnsi="Arial" w:cs="Arial"/>
          <w:b/>
        </w:rPr>
        <w:t>En c</w:t>
      </w:r>
      <w:r w:rsidR="00FE7028" w:rsidRPr="00CB58AD">
        <w:rPr>
          <w:rFonts w:ascii="Arial" w:hAnsi="Arial" w:cs="Arial"/>
          <w:b/>
        </w:rPr>
        <w:t>onclusion</w:t>
      </w:r>
      <w:r w:rsidRPr="00CB58AD">
        <w:rPr>
          <w:rFonts w:ascii="Arial" w:hAnsi="Arial" w:cs="Arial"/>
          <w:b/>
        </w:rPr>
        <w:t xml:space="preserve">, </w:t>
      </w:r>
      <w:r w:rsidRPr="00CB58AD">
        <w:rPr>
          <w:rFonts w:ascii="Arial" w:hAnsi="Arial" w:cs="Arial"/>
        </w:rPr>
        <w:t>a</w:t>
      </w:r>
      <w:r w:rsidR="00FE7028" w:rsidRPr="00CB58AD">
        <w:rPr>
          <w:rFonts w:ascii="Arial" w:hAnsi="Arial" w:cs="Arial"/>
        </w:rPr>
        <w:t>vec le protocole de dilution du Cryocheck</w:t>
      </w:r>
      <w:r w:rsidR="00FE7028" w:rsidRPr="00CB58AD">
        <w:rPr>
          <w:rFonts w:ascii="Arial" w:hAnsi="Arial" w:cs="Arial"/>
          <w:vertAlign w:val="superscript"/>
        </w:rPr>
        <w:t>®</w:t>
      </w:r>
      <w:r w:rsidR="00FE7028" w:rsidRPr="00CB58AD">
        <w:rPr>
          <w:rFonts w:ascii="Arial" w:hAnsi="Arial" w:cs="Arial"/>
        </w:rPr>
        <w:t xml:space="preserve"> dans du déficient FVIII, seul le réactif Biophen</w:t>
      </w:r>
      <w:r w:rsidR="00FE7028" w:rsidRPr="00CB58AD">
        <w:rPr>
          <w:rFonts w:ascii="Arial" w:hAnsi="Arial" w:cs="Arial"/>
          <w:vertAlign w:val="superscript"/>
        </w:rPr>
        <w:t>®</w:t>
      </w:r>
      <w:r w:rsidR="00FE7028" w:rsidRPr="00CB58AD">
        <w:rPr>
          <w:rFonts w:ascii="Arial" w:hAnsi="Arial" w:cs="Arial"/>
        </w:rPr>
        <w:t>FVIII (réactif origine humaine) permettrait de distinguer une HA sévère d’une HA modérée. Des travaux complémentaires sont nécessaires pour comprendre les différences de LLOQ obtenues en particulier avec le réactif Coamatic</w:t>
      </w:r>
      <w:r w:rsidR="00FE7028" w:rsidRPr="00CB58AD">
        <w:rPr>
          <w:rFonts w:ascii="Arial" w:hAnsi="Arial" w:cs="Arial"/>
          <w:vertAlign w:val="superscript"/>
        </w:rPr>
        <w:t>®</w:t>
      </w:r>
      <w:r w:rsidR="00FE7028" w:rsidRPr="00CB58AD">
        <w:rPr>
          <w:rFonts w:ascii="Arial" w:hAnsi="Arial" w:cs="Arial"/>
        </w:rPr>
        <w:t xml:space="preserve"> FVIII selon le </w:t>
      </w:r>
      <w:r w:rsidRPr="00CB58AD">
        <w:rPr>
          <w:rFonts w:ascii="Arial" w:hAnsi="Arial" w:cs="Arial"/>
        </w:rPr>
        <w:t xml:space="preserve">diluant utilisé </w:t>
      </w:r>
      <w:r w:rsidR="00FE7028" w:rsidRPr="00CB58AD">
        <w:rPr>
          <w:rFonts w:ascii="Arial" w:hAnsi="Arial" w:cs="Arial"/>
        </w:rPr>
        <w:t>et pour préciser le protocole le mieux adapté pour déterminer la LLOQ des réactifs chromogéniques.</w:t>
      </w:r>
    </w:p>
    <w:p w:rsidR="001F630C" w:rsidRPr="00CB58AD" w:rsidRDefault="001F630C" w:rsidP="001F630C">
      <w:pPr>
        <w:jc w:val="both"/>
        <w:rPr>
          <w:rFonts w:ascii="Arial" w:hAnsi="Arial" w:cs="Arial"/>
          <w:b/>
          <w:bCs/>
          <w:u w:val="single"/>
        </w:rPr>
      </w:pPr>
    </w:p>
    <w:p w:rsidR="00CB58AD" w:rsidRDefault="00CB58AD" w:rsidP="001F630C">
      <w:pPr>
        <w:ind w:left="360"/>
        <w:jc w:val="both"/>
        <w:rPr>
          <w:rFonts w:ascii="Arial" w:hAnsi="Arial" w:cs="Arial"/>
          <w:bCs/>
        </w:rPr>
      </w:pPr>
    </w:p>
    <w:p w:rsidR="001F630C" w:rsidRPr="00CB58AD" w:rsidRDefault="001F630C" w:rsidP="001F630C">
      <w:pPr>
        <w:ind w:left="360"/>
        <w:jc w:val="both"/>
        <w:rPr>
          <w:rFonts w:ascii="Arial" w:hAnsi="Arial" w:cs="Arial"/>
          <w:bCs/>
        </w:rPr>
      </w:pPr>
      <w:r w:rsidRPr="00CB58AD">
        <w:rPr>
          <w:rFonts w:ascii="Arial" w:hAnsi="Arial" w:cs="Arial"/>
          <w:b/>
          <w:bCs/>
        </w:rPr>
        <w:lastRenderedPageBreak/>
        <w:t>Tableau 1</w:t>
      </w:r>
      <w:r w:rsidRPr="00CB58AD">
        <w:rPr>
          <w:rFonts w:ascii="Arial" w:hAnsi="Arial" w:cs="Arial"/>
          <w:bCs/>
        </w:rPr>
        <w:t>. D</w:t>
      </w:r>
      <w:r w:rsidR="009077C3" w:rsidRPr="00CB58AD">
        <w:rPr>
          <w:rFonts w:ascii="Arial" w:hAnsi="Arial" w:cs="Arial"/>
          <w:bCs/>
        </w:rPr>
        <w:t>ilutions du CRYOcheck® : ex</w:t>
      </w:r>
      <w:r w:rsidRPr="00CB58AD">
        <w:rPr>
          <w:rFonts w:ascii="Arial" w:hAnsi="Arial" w:cs="Arial"/>
          <w:bCs/>
        </w:rPr>
        <w:t xml:space="preserve"> d’un centre ayant mesuré un taux de FVIII à 108 UI/dL.</w:t>
      </w:r>
    </w:p>
    <w:p w:rsidR="008B10E8" w:rsidRDefault="008B10E8" w:rsidP="008B10E8">
      <w:pPr>
        <w:ind w:left="360"/>
        <w:jc w:val="center"/>
        <w:rPr>
          <w:rFonts w:ascii="Arial" w:hAnsi="Arial" w:cs="Arial"/>
          <w:b/>
          <w:bCs/>
          <w:u w:val="single"/>
        </w:rPr>
      </w:pPr>
      <w:r w:rsidRPr="00CB58AD">
        <w:rPr>
          <w:rFonts w:ascii="Arial" w:hAnsi="Arial" w:cs="Arial"/>
          <w:noProof/>
        </w:rPr>
        <w:drawing>
          <wp:inline distT="0" distB="0" distL="0" distR="0" wp14:anchorId="0A420D3B" wp14:editId="772BFE86">
            <wp:extent cx="4775835" cy="1620979"/>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674" t="51293" r="39140" b="18424"/>
                    <a:stretch/>
                  </pic:blipFill>
                  <pic:spPr bwMode="auto">
                    <a:xfrm>
                      <a:off x="0" y="0"/>
                      <a:ext cx="4813738" cy="1633844"/>
                    </a:xfrm>
                    <a:prstGeom prst="rect">
                      <a:avLst/>
                    </a:prstGeom>
                    <a:ln>
                      <a:noFill/>
                    </a:ln>
                    <a:extLst>
                      <a:ext uri="{53640926-AAD7-44D8-BBD7-CCE9431645EC}">
                        <a14:shadowObscured xmlns:a14="http://schemas.microsoft.com/office/drawing/2010/main"/>
                      </a:ext>
                    </a:extLst>
                  </pic:spPr>
                </pic:pic>
              </a:graphicData>
            </a:graphic>
          </wp:inline>
        </w:drawing>
      </w:r>
    </w:p>
    <w:p w:rsidR="00CB58AD" w:rsidRPr="00CB58AD" w:rsidRDefault="00CB58AD" w:rsidP="008B10E8">
      <w:pPr>
        <w:ind w:left="360"/>
        <w:jc w:val="center"/>
        <w:rPr>
          <w:rFonts w:ascii="Arial" w:hAnsi="Arial" w:cs="Arial"/>
          <w:b/>
          <w:bCs/>
          <w:u w:val="single"/>
        </w:rPr>
      </w:pPr>
      <w:bookmarkStart w:id="0" w:name="_GoBack"/>
      <w:bookmarkEnd w:id="0"/>
    </w:p>
    <w:p w:rsidR="008B10E8" w:rsidRPr="00CB58AD" w:rsidRDefault="001F630C" w:rsidP="00313E35">
      <w:pPr>
        <w:ind w:left="360"/>
        <w:jc w:val="both"/>
        <w:rPr>
          <w:rFonts w:ascii="Arial" w:hAnsi="Arial" w:cs="Arial"/>
          <w:b/>
        </w:rPr>
      </w:pPr>
      <w:r w:rsidRPr="00CB58AD">
        <w:rPr>
          <w:rFonts w:ascii="Arial" w:hAnsi="Arial" w:cs="Arial"/>
          <w:b/>
          <w:bCs/>
        </w:rPr>
        <w:t>Tableau 2</w:t>
      </w:r>
      <w:r w:rsidRPr="00CB58AD">
        <w:rPr>
          <w:rFonts w:ascii="Arial" w:hAnsi="Arial" w:cs="Arial"/>
          <w:bCs/>
        </w:rPr>
        <w:t>. Limite de quantification basse de 4 réactifs pour le dosage du FVIII chromogénique.</w:t>
      </w:r>
      <w:r w:rsidR="008B10E8" w:rsidRPr="00CB58AD">
        <w:rPr>
          <w:rFonts w:ascii="Arial" w:hAnsi="Arial" w:cs="Arial"/>
          <w:noProof/>
        </w:rPr>
        <w:drawing>
          <wp:inline distT="0" distB="0" distL="0" distR="0" wp14:anchorId="38D324BC" wp14:editId="6FC9CB13">
            <wp:extent cx="5028231" cy="2475204"/>
            <wp:effectExtent l="0" t="0" r="127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463" t="33657" r="44322" b="22399"/>
                    <a:stretch/>
                  </pic:blipFill>
                  <pic:spPr bwMode="auto">
                    <a:xfrm>
                      <a:off x="0" y="0"/>
                      <a:ext cx="5082693" cy="2502014"/>
                    </a:xfrm>
                    <a:prstGeom prst="rect">
                      <a:avLst/>
                    </a:prstGeom>
                    <a:ln>
                      <a:noFill/>
                    </a:ln>
                    <a:extLst>
                      <a:ext uri="{53640926-AAD7-44D8-BBD7-CCE9431645EC}">
                        <a14:shadowObscured xmlns:a14="http://schemas.microsoft.com/office/drawing/2010/main"/>
                      </a:ext>
                    </a:extLst>
                  </pic:spPr>
                </pic:pic>
              </a:graphicData>
            </a:graphic>
          </wp:inline>
        </w:drawing>
      </w:r>
    </w:p>
    <w:p w:rsidR="00FE7028" w:rsidRPr="00CB58AD" w:rsidRDefault="00FE7028" w:rsidP="001F630C">
      <w:pPr>
        <w:pBdr>
          <w:top w:val="nil"/>
          <w:left w:val="nil"/>
          <w:bottom w:val="nil"/>
          <w:right w:val="nil"/>
          <w:between w:val="nil"/>
        </w:pBdr>
        <w:jc w:val="both"/>
        <w:rPr>
          <w:rFonts w:ascii="Arial" w:hAnsi="Arial" w:cs="Arial"/>
          <w:bCs/>
          <w:color w:val="000000" w:themeColor="text1"/>
        </w:rPr>
      </w:pPr>
    </w:p>
    <w:p w:rsidR="00B610C5" w:rsidRPr="00CB58AD" w:rsidRDefault="00B610C5" w:rsidP="007B1974">
      <w:pPr>
        <w:jc w:val="both"/>
        <w:rPr>
          <w:rFonts w:ascii="Arial" w:hAnsi="Arial" w:cs="Arial"/>
          <w:color w:val="FF0000"/>
        </w:rPr>
      </w:pPr>
    </w:p>
    <w:p w:rsidR="0023446E" w:rsidRPr="00CB58AD" w:rsidRDefault="00774DD5" w:rsidP="007B1974">
      <w:pPr>
        <w:jc w:val="both"/>
        <w:rPr>
          <w:rFonts w:ascii="Arial" w:hAnsi="Arial" w:cs="Arial"/>
          <w:color w:val="000000" w:themeColor="text1"/>
        </w:rPr>
      </w:pPr>
      <w:r w:rsidRPr="00CB58AD">
        <w:rPr>
          <w:rFonts w:ascii="Arial" w:hAnsi="Arial" w:cs="Arial"/>
          <w:color w:val="000000" w:themeColor="text1"/>
        </w:rPr>
        <w:t>La pr</w:t>
      </w:r>
      <w:r w:rsidR="00836122" w:rsidRPr="00CB58AD">
        <w:rPr>
          <w:rFonts w:ascii="Arial" w:hAnsi="Arial" w:cs="Arial"/>
          <w:color w:val="000000" w:themeColor="text1"/>
        </w:rPr>
        <w:t>ochaine réunion se tiendra le 13 décembre</w:t>
      </w:r>
      <w:r w:rsidR="00EC4C9D" w:rsidRPr="00CB58AD">
        <w:rPr>
          <w:rFonts w:ascii="Arial" w:hAnsi="Arial" w:cs="Arial"/>
          <w:color w:val="000000" w:themeColor="text1"/>
        </w:rPr>
        <w:t xml:space="preserve"> </w:t>
      </w:r>
      <w:r w:rsidR="00F81B33" w:rsidRPr="00CB58AD">
        <w:rPr>
          <w:rFonts w:ascii="Arial" w:hAnsi="Arial" w:cs="Arial"/>
          <w:color w:val="000000" w:themeColor="text1"/>
        </w:rPr>
        <w:t xml:space="preserve">2024 </w:t>
      </w:r>
      <w:r w:rsidRPr="00CB58AD">
        <w:rPr>
          <w:rFonts w:ascii="Arial" w:hAnsi="Arial" w:cs="Arial"/>
          <w:color w:val="000000" w:themeColor="text1"/>
        </w:rPr>
        <w:t>sur Paris</w:t>
      </w:r>
      <w:r w:rsidR="00666310" w:rsidRPr="00CB58AD">
        <w:rPr>
          <w:rFonts w:ascii="Arial" w:hAnsi="Arial" w:cs="Arial"/>
          <w:color w:val="000000" w:themeColor="text1"/>
        </w:rPr>
        <w:t xml:space="preserve"> (Necker)</w:t>
      </w:r>
      <w:r w:rsidR="00F81B33" w:rsidRPr="00CB58AD">
        <w:rPr>
          <w:rFonts w:ascii="Arial" w:hAnsi="Arial" w:cs="Arial"/>
          <w:color w:val="000000" w:themeColor="text1"/>
        </w:rPr>
        <w:t>.</w:t>
      </w:r>
    </w:p>
    <w:sectPr w:rsidR="0023446E" w:rsidRPr="00CB58AD" w:rsidSect="001E1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A3" w:rsidRDefault="004C52A3" w:rsidP="0008085C">
      <w:r>
        <w:separator/>
      </w:r>
    </w:p>
  </w:endnote>
  <w:endnote w:type="continuationSeparator" w:id="0">
    <w:p w:rsidR="004C52A3" w:rsidRDefault="004C52A3" w:rsidP="0008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A3" w:rsidRDefault="004C52A3" w:rsidP="0008085C">
      <w:r>
        <w:separator/>
      </w:r>
    </w:p>
  </w:footnote>
  <w:footnote w:type="continuationSeparator" w:id="0">
    <w:p w:rsidR="004C52A3" w:rsidRDefault="004C52A3" w:rsidP="00080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5AED0A"/>
    <w:lvl w:ilvl="0">
      <w:start w:val="1"/>
      <w:numFmt w:val="bullet"/>
      <w:pStyle w:val="Niveauducommentaire11"/>
      <w:lvlText w:val=""/>
      <w:lvlJc w:val="left"/>
      <w:pPr>
        <w:tabs>
          <w:tab w:val="num" w:pos="0"/>
        </w:tabs>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170603E"/>
    <w:multiLevelType w:val="hybridMultilevel"/>
    <w:tmpl w:val="69B48A92"/>
    <w:lvl w:ilvl="0" w:tplc="D05AA398">
      <w:start w:val="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3F01BE5"/>
    <w:multiLevelType w:val="multilevel"/>
    <w:tmpl w:val="639CF352"/>
    <w:lvl w:ilvl="0">
      <w:start w:val="1"/>
      <w:numFmt w:val="decimal"/>
      <w:lvlText w:val="%1."/>
      <w:lvlJc w:val="left"/>
      <w:pPr>
        <w:ind w:left="360" w:hanging="360"/>
      </w:pPr>
      <w:rPr>
        <w:rFonts w:hint="default"/>
        <w:b/>
        <w:color w:val="FF0000"/>
      </w:rPr>
    </w:lvl>
    <w:lvl w:ilvl="1">
      <w:start w:val="3"/>
      <w:numFmt w:val="decimal"/>
      <w:isLgl/>
      <w:lvlText w:val="%1.%2"/>
      <w:lvlJc w:val="left"/>
      <w:pPr>
        <w:ind w:left="360" w:hanging="360"/>
      </w:pPr>
      <w:rPr>
        <w:rFonts w:asciiTheme="minorHAnsi" w:hAnsiTheme="minorHAnsi" w:cstheme="minorHAnsi" w:hint="default"/>
        <w:b/>
        <w:color w:val="FF0000"/>
      </w:rPr>
    </w:lvl>
    <w:lvl w:ilvl="2">
      <w:start w:val="1"/>
      <w:numFmt w:val="decimal"/>
      <w:isLgl/>
      <w:lvlText w:val="%1.%2.%3"/>
      <w:lvlJc w:val="left"/>
      <w:pPr>
        <w:ind w:left="720" w:hanging="720"/>
      </w:pPr>
      <w:rPr>
        <w:rFonts w:asciiTheme="minorHAnsi" w:hAnsiTheme="minorHAnsi" w:cstheme="minorHAnsi" w:hint="default"/>
        <w:b/>
        <w:color w:val="FF0000"/>
      </w:rPr>
    </w:lvl>
    <w:lvl w:ilvl="3">
      <w:start w:val="1"/>
      <w:numFmt w:val="decimal"/>
      <w:isLgl/>
      <w:lvlText w:val="%1.%2.%3.%4"/>
      <w:lvlJc w:val="left"/>
      <w:pPr>
        <w:ind w:left="720" w:hanging="720"/>
      </w:pPr>
      <w:rPr>
        <w:rFonts w:asciiTheme="minorHAnsi" w:hAnsiTheme="minorHAnsi" w:cstheme="minorHAnsi" w:hint="default"/>
        <w:b/>
        <w:color w:val="FF0000"/>
      </w:rPr>
    </w:lvl>
    <w:lvl w:ilvl="4">
      <w:start w:val="1"/>
      <w:numFmt w:val="decimal"/>
      <w:isLgl/>
      <w:lvlText w:val="%1.%2.%3.%4.%5"/>
      <w:lvlJc w:val="left"/>
      <w:pPr>
        <w:ind w:left="1080" w:hanging="1080"/>
      </w:pPr>
      <w:rPr>
        <w:rFonts w:asciiTheme="minorHAnsi" w:hAnsiTheme="minorHAnsi" w:cstheme="minorHAnsi" w:hint="default"/>
        <w:b/>
        <w:color w:val="FF0000"/>
      </w:rPr>
    </w:lvl>
    <w:lvl w:ilvl="5">
      <w:start w:val="1"/>
      <w:numFmt w:val="decimal"/>
      <w:isLgl/>
      <w:lvlText w:val="%1.%2.%3.%4.%5.%6"/>
      <w:lvlJc w:val="left"/>
      <w:pPr>
        <w:ind w:left="1080" w:hanging="1080"/>
      </w:pPr>
      <w:rPr>
        <w:rFonts w:asciiTheme="minorHAnsi" w:hAnsiTheme="minorHAnsi" w:cstheme="minorHAnsi" w:hint="default"/>
        <w:b/>
        <w:color w:val="FF0000"/>
      </w:rPr>
    </w:lvl>
    <w:lvl w:ilvl="6">
      <w:start w:val="1"/>
      <w:numFmt w:val="decimal"/>
      <w:isLgl/>
      <w:lvlText w:val="%1.%2.%3.%4.%5.%6.%7"/>
      <w:lvlJc w:val="left"/>
      <w:pPr>
        <w:ind w:left="1440" w:hanging="1440"/>
      </w:pPr>
      <w:rPr>
        <w:rFonts w:asciiTheme="minorHAnsi" w:hAnsiTheme="minorHAnsi" w:cstheme="minorHAnsi" w:hint="default"/>
        <w:b/>
        <w:color w:val="FF0000"/>
      </w:rPr>
    </w:lvl>
    <w:lvl w:ilvl="7">
      <w:start w:val="1"/>
      <w:numFmt w:val="decimal"/>
      <w:isLgl/>
      <w:lvlText w:val="%1.%2.%3.%4.%5.%6.%7.%8"/>
      <w:lvlJc w:val="left"/>
      <w:pPr>
        <w:ind w:left="1440" w:hanging="1440"/>
      </w:pPr>
      <w:rPr>
        <w:rFonts w:asciiTheme="minorHAnsi" w:hAnsiTheme="minorHAnsi" w:cstheme="minorHAnsi" w:hint="default"/>
        <w:b/>
        <w:color w:val="FF0000"/>
      </w:rPr>
    </w:lvl>
    <w:lvl w:ilvl="8">
      <w:start w:val="1"/>
      <w:numFmt w:val="decimal"/>
      <w:isLgl/>
      <w:lvlText w:val="%1.%2.%3.%4.%5.%6.%7.%8.%9"/>
      <w:lvlJc w:val="left"/>
      <w:pPr>
        <w:ind w:left="1800" w:hanging="1800"/>
      </w:pPr>
      <w:rPr>
        <w:rFonts w:asciiTheme="minorHAnsi" w:hAnsiTheme="minorHAnsi" w:cstheme="minorHAnsi" w:hint="default"/>
        <w:b/>
        <w:color w:val="FF0000"/>
      </w:rPr>
    </w:lvl>
  </w:abstractNum>
  <w:abstractNum w:abstractNumId="3" w15:restartNumberingAfterBreak="0">
    <w:nsid w:val="16FC7E3E"/>
    <w:multiLevelType w:val="hybridMultilevel"/>
    <w:tmpl w:val="2FE4CE8E"/>
    <w:lvl w:ilvl="0" w:tplc="3A04F6BC">
      <w:start w:val="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85C0FAB"/>
    <w:multiLevelType w:val="multilevel"/>
    <w:tmpl w:val="E154E46E"/>
    <w:lvl w:ilvl="0">
      <w:start w:val="3"/>
      <w:numFmt w:val="decimal"/>
      <w:lvlText w:val="%1"/>
      <w:lvlJc w:val="left"/>
      <w:pPr>
        <w:ind w:left="360" w:hanging="360"/>
      </w:pPr>
      <w:rPr>
        <w:rFonts w:hint="default"/>
        <w:b/>
        <w:color w:val="FF000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78313A"/>
    <w:multiLevelType w:val="hybridMultilevel"/>
    <w:tmpl w:val="5D6205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1517A3B"/>
    <w:multiLevelType w:val="hybridMultilevel"/>
    <w:tmpl w:val="B6EC0006"/>
    <w:lvl w:ilvl="0" w:tplc="39805876">
      <w:start w:val="1"/>
      <w:numFmt w:val="decimal"/>
      <w:lvlText w:val="%1)"/>
      <w:lvlJc w:val="left"/>
      <w:pPr>
        <w:ind w:left="720" w:hanging="360"/>
      </w:pPr>
      <w:rPr>
        <w:rFonts w:asciiTheme="minorHAnsi" w:eastAsia="Times New Roman" w:hAnsiTheme="minorHAnsi" w:cstheme="minorHAnsi"/>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5DC1D2-045A-4E2A-8C40-2CBF1C41C39D}"/>
    <w:docVar w:name="dgnword-eventsink" w:val="315913728"/>
  </w:docVars>
  <w:rsids>
    <w:rsidRoot w:val="000C51C3"/>
    <w:rsid w:val="00000B11"/>
    <w:rsid w:val="00000C93"/>
    <w:rsid w:val="0000105F"/>
    <w:rsid w:val="00001EA3"/>
    <w:rsid w:val="00003A91"/>
    <w:rsid w:val="00004619"/>
    <w:rsid w:val="0000501D"/>
    <w:rsid w:val="00005803"/>
    <w:rsid w:val="00006849"/>
    <w:rsid w:val="00012819"/>
    <w:rsid w:val="00023553"/>
    <w:rsid w:val="00025622"/>
    <w:rsid w:val="000270A3"/>
    <w:rsid w:val="00030E4B"/>
    <w:rsid w:val="00035D8D"/>
    <w:rsid w:val="00036020"/>
    <w:rsid w:val="00036D0E"/>
    <w:rsid w:val="00036EBF"/>
    <w:rsid w:val="000371D8"/>
    <w:rsid w:val="000403D6"/>
    <w:rsid w:val="000410D8"/>
    <w:rsid w:val="0004438E"/>
    <w:rsid w:val="00045BD0"/>
    <w:rsid w:val="00046833"/>
    <w:rsid w:val="000469E0"/>
    <w:rsid w:val="00051A8C"/>
    <w:rsid w:val="00055D45"/>
    <w:rsid w:val="00057FC1"/>
    <w:rsid w:val="000640FB"/>
    <w:rsid w:val="00065A72"/>
    <w:rsid w:val="000750E0"/>
    <w:rsid w:val="00076646"/>
    <w:rsid w:val="0008085C"/>
    <w:rsid w:val="000818A0"/>
    <w:rsid w:val="0008487D"/>
    <w:rsid w:val="00084BD7"/>
    <w:rsid w:val="000855D9"/>
    <w:rsid w:val="00085898"/>
    <w:rsid w:val="0008708A"/>
    <w:rsid w:val="00092723"/>
    <w:rsid w:val="000A0009"/>
    <w:rsid w:val="000A29D0"/>
    <w:rsid w:val="000A5414"/>
    <w:rsid w:val="000B0A87"/>
    <w:rsid w:val="000B28F1"/>
    <w:rsid w:val="000B39BC"/>
    <w:rsid w:val="000B5D2C"/>
    <w:rsid w:val="000C0885"/>
    <w:rsid w:val="000C11C2"/>
    <w:rsid w:val="000C39C2"/>
    <w:rsid w:val="000C51C3"/>
    <w:rsid w:val="000D0559"/>
    <w:rsid w:val="000D112E"/>
    <w:rsid w:val="000D3BB8"/>
    <w:rsid w:val="000D63B3"/>
    <w:rsid w:val="000E3815"/>
    <w:rsid w:val="000E4299"/>
    <w:rsid w:val="000E65CF"/>
    <w:rsid w:val="000E7B41"/>
    <w:rsid w:val="000F0E02"/>
    <w:rsid w:val="00103627"/>
    <w:rsid w:val="001069CF"/>
    <w:rsid w:val="00106ED8"/>
    <w:rsid w:val="001070A7"/>
    <w:rsid w:val="00107FA6"/>
    <w:rsid w:val="001117E9"/>
    <w:rsid w:val="00113898"/>
    <w:rsid w:val="00113CA1"/>
    <w:rsid w:val="00113F10"/>
    <w:rsid w:val="001152BC"/>
    <w:rsid w:val="00116214"/>
    <w:rsid w:val="0011691F"/>
    <w:rsid w:val="00120338"/>
    <w:rsid w:val="00122FBF"/>
    <w:rsid w:val="001242AA"/>
    <w:rsid w:val="00125A0E"/>
    <w:rsid w:val="001309D9"/>
    <w:rsid w:val="00130EB2"/>
    <w:rsid w:val="001323DE"/>
    <w:rsid w:val="001335B5"/>
    <w:rsid w:val="00134E25"/>
    <w:rsid w:val="0013698E"/>
    <w:rsid w:val="00142F94"/>
    <w:rsid w:val="00146300"/>
    <w:rsid w:val="00147BA7"/>
    <w:rsid w:val="001509DA"/>
    <w:rsid w:val="00150D20"/>
    <w:rsid w:val="00152955"/>
    <w:rsid w:val="00155964"/>
    <w:rsid w:val="001560CE"/>
    <w:rsid w:val="00160BE0"/>
    <w:rsid w:val="0016111F"/>
    <w:rsid w:val="0016238D"/>
    <w:rsid w:val="00162F33"/>
    <w:rsid w:val="00163013"/>
    <w:rsid w:val="0016321A"/>
    <w:rsid w:val="001641FD"/>
    <w:rsid w:val="001648FC"/>
    <w:rsid w:val="00164E7D"/>
    <w:rsid w:val="00171D32"/>
    <w:rsid w:val="0017469A"/>
    <w:rsid w:val="001754E4"/>
    <w:rsid w:val="00181682"/>
    <w:rsid w:val="00181E1C"/>
    <w:rsid w:val="00182AB2"/>
    <w:rsid w:val="00183124"/>
    <w:rsid w:val="0018574D"/>
    <w:rsid w:val="00185CEE"/>
    <w:rsid w:val="00187A21"/>
    <w:rsid w:val="001924D6"/>
    <w:rsid w:val="00196062"/>
    <w:rsid w:val="00196203"/>
    <w:rsid w:val="00196D48"/>
    <w:rsid w:val="001A07DB"/>
    <w:rsid w:val="001A11BD"/>
    <w:rsid w:val="001A2942"/>
    <w:rsid w:val="001A2CED"/>
    <w:rsid w:val="001A3281"/>
    <w:rsid w:val="001A3812"/>
    <w:rsid w:val="001A3B97"/>
    <w:rsid w:val="001A606C"/>
    <w:rsid w:val="001B02FD"/>
    <w:rsid w:val="001B32C6"/>
    <w:rsid w:val="001B387C"/>
    <w:rsid w:val="001B589A"/>
    <w:rsid w:val="001C038E"/>
    <w:rsid w:val="001C1C3D"/>
    <w:rsid w:val="001C2838"/>
    <w:rsid w:val="001C2D17"/>
    <w:rsid w:val="001C5F17"/>
    <w:rsid w:val="001C66CD"/>
    <w:rsid w:val="001E1098"/>
    <w:rsid w:val="001E112F"/>
    <w:rsid w:val="001E11E4"/>
    <w:rsid w:val="001E576C"/>
    <w:rsid w:val="001E589F"/>
    <w:rsid w:val="001E756B"/>
    <w:rsid w:val="001F33C2"/>
    <w:rsid w:val="001F5834"/>
    <w:rsid w:val="001F630C"/>
    <w:rsid w:val="001F652B"/>
    <w:rsid w:val="00200878"/>
    <w:rsid w:val="00202F95"/>
    <w:rsid w:val="00203753"/>
    <w:rsid w:val="002055F0"/>
    <w:rsid w:val="00205B08"/>
    <w:rsid w:val="00206115"/>
    <w:rsid w:val="002065E6"/>
    <w:rsid w:val="002076B8"/>
    <w:rsid w:val="00210557"/>
    <w:rsid w:val="002128AF"/>
    <w:rsid w:val="0021348B"/>
    <w:rsid w:val="00213808"/>
    <w:rsid w:val="002161AA"/>
    <w:rsid w:val="00216C39"/>
    <w:rsid w:val="0022126C"/>
    <w:rsid w:val="00224211"/>
    <w:rsid w:val="00226439"/>
    <w:rsid w:val="00226DDE"/>
    <w:rsid w:val="00230FE5"/>
    <w:rsid w:val="00231E74"/>
    <w:rsid w:val="0023446E"/>
    <w:rsid w:val="002365FB"/>
    <w:rsid w:val="00236D38"/>
    <w:rsid w:val="00241851"/>
    <w:rsid w:val="00246134"/>
    <w:rsid w:val="00246D02"/>
    <w:rsid w:val="00251884"/>
    <w:rsid w:val="0025377B"/>
    <w:rsid w:val="0025379D"/>
    <w:rsid w:val="0025380E"/>
    <w:rsid w:val="00253DB1"/>
    <w:rsid w:val="00255CA5"/>
    <w:rsid w:val="00256A19"/>
    <w:rsid w:val="00256C3F"/>
    <w:rsid w:val="0026200C"/>
    <w:rsid w:val="00263C26"/>
    <w:rsid w:val="00265DA7"/>
    <w:rsid w:val="0026728B"/>
    <w:rsid w:val="00270C73"/>
    <w:rsid w:val="002738F3"/>
    <w:rsid w:val="00276ADC"/>
    <w:rsid w:val="00282777"/>
    <w:rsid w:val="00283E6C"/>
    <w:rsid w:val="002857BF"/>
    <w:rsid w:val="002877B5"/>
    <w:rsid w:val="00291197"/>
    <w:rsid w:val="00293751"/>
    <w:rsid w:val="00293AB2"/>
    <w:rsid w:val="00294F2B"/>
    <w:rsid w:val="00295E6F"/>
    <w:rsid w:val="00297140"/>
    <w:rsid w:val="00297892"/>
    <w:rsid w:val="002A05A0"/>
    <w:rsid w:val="002A18F1"/>
    <w:rsid w:val="002A21A0"/>
    <w:rsid w:val="002A4B2D"/>
    <w:rsid w:val="002A73EE"/>
    <w:rsid w:val="002B5A31"/>
    <w:rsid w:val="002B61D1"/>
    <w:rsid w:val="002B65CA"/>
    <w:rsid w:val="002C1596"/>
    <w:rsid w:val="002C3D79"/>
    <w:rsid w:val="002C3EFB"/>
    <w:rsid w:val="002C47F0"/>
    <w:rsid w:val="002C4CE6"/>
    <w:rsid w:val="002D1833"/>
    <w:rsid w:val="002D58AD"/>
    <w:rsid w:val="002D67EF"/>
    <w:rsid w:val="002D6D02"/>
    <w:rsid w:val="002D786F"/>
    <w:rsid w:val="002D7883"/>
    <w:rsid w:val="002E1D03"/>
    <w:rsid w:val="002E3A25"/>
    <w:rsid w:val="002E45FE"/>
    <w:rsid w:val="002E50E2"/>
    <w:rsid w:val="002E73FF"/>
    <w:rsid w:val="002E75DC"/>
    <w:rsid w:val="002F1042"/>
    <w:rsid w:val="002F2AD3"/>
    <w:rsid w:val="002F6311"/>
    <w:rsid w:val="002F79FF"/>
    <w:rsid w:val="00304DBC"/>
    <w:rsid w:val="00313AD6"/>
    <w:rsid w:val="00313E35"/>
    <w:rsid w:val="00316D36"/>
    <w:rsid w:val="00317B21"/>
    <w:rsid w:val="00321E77"/>
    <w:rsid w:val="00323519"/>
    <w:rsid w:val="003253C2"/>
    <w:rsid w:val="00333999"/>
    <w:rsid w:val="00334BC4"/>
    <w:rsid w:val="00334C4F"/>
    <w:rsid w:val="00335C76"/>
    <w:rsid w:val="0033674D"/>
    <w:rsid w:val="00336CDC"/>
    <w:rsid w:val="003375A7"/>
    <w:rsid w:val="003379CB"/>
    <w:rsid w:val="00337D6E"/>
    <w:rsid w:val="00344FCE"/>
    <w:rsid w:val="00346E10"/>
    <w:rsid w:val="003542AC"/>
    <w:rsid w:val="003558F6"/>
    <w:rsid w:val="00356062"/>
    <w:rsid w:val="00364A72"/>
    <w:rsid w:val="00365364"/>
    <w:rsid w:val="00371E55"/>
    <w:rsid w:val="00372C12"/>
    <w:rsid w:val="00372D67"/>
    <w:rsid w:val="00374C5F"/>
    <w:rsid w:val="00375828"/>
    <w:rsid w:val="00375928"/>
    <w:rsid w:val="0037761D"/>
    <w:rsid w:val="00377991"/>
    <w:rsid w:val="00382594"/>
    <w:rsid w:val="00382D78"/>
    <w:rsid w:val="00384BCD"/>
    <w:rsid w:val="003900EC"/>
    <w:rsid w:val="0039073A"/>
    <w:rsid w:val="00391500"/>
    <w:rsid w:val="00393C74"/>
    <w:rsid w:val="00396966"/>
    <w:rsid w:val="00397799"/>
    <w:rsid w:val="003A085F"/>
    <w:rsid w:val="003A1142"/>
    <w:rsid w:val="003A1E0B"/>
    <w:rsid w:val="003B1AF5"/>
    <w:rsid w:val="003B22A6"/>
    <w:rsid w:val="003B4FD2"/>
    <w:rsid w:val="003B5412"/>
    <w:rsid w:val="003B5BFF"/>
    <w:rsid w:val="003C118A"/>
    <w:rsid w:val="003C195B"/>
    <w:rsid w:val="003D03B3"/>
    <w:rsid w:val="003D19A2"/>
    <w:rsid w:val="003D2DE0"/>
    <w:rsid w:val="003D3557"/>
    <w:rsid w:val="003D4A85"/>
    <w:rsid w:val="003D4C85"/>
    <w:rsid w:val="003D5E7E"/>
    <w:rsid w:val="003D60CB"/>
    <w:rsid w:val="003D683F"/>
    <w:rsid w:val="003D7A55"/>
    <w:rsid w:val="003E2719"/>
    <w:rsid w:val="003E36F6"/>
    <w:rsid w:val="003E4236"/>
    <w:rsid w:val="003E627C"/>
    <w:rsid w:val="003F4050"/>
    <w:rsid w:val="003F4C70"/>
    <w:rsid w:val="003F7A02"/>
    <w:rsid w:val="00400C12"/>
    <w:rsid w:val="004018E5"/>
    <w:rsid w:val="00404F88"/>
    <w:rsid w:val="0041301E"/>
    <w:rsid w:val="0041312E"/>
    <w:rsid w:val="0041463F"/>
    <w:rsid w:val="00415118"/>
    <w:rsid w:val="00415806"/>
    <w:rsid w:val="00415C78"/>
    <w:rsid w:val="00422537"/>
    <w:rsid w:val="004272A1"/>
    <w:rsid w:val="00427512"/>
    <w:rsid w:val="00427B19"/>
    <w:rsid w:val="0043119C"/>
    <w:rsid w:val="00432775"/>
    <w:rsid w:val="004334A4"/>
    <w:rsid w:val="00435B42"/>
    <w:rsid w:val="00441F26"/>
    <w:rsid w:val="00446176"/>
    <w:rsid w:val="00447C91"/>
    <w:rsid w:val="00447E59"/>
    <w:rsid w:val="00453792"/>
    <w:rsid w:val="004542D2"/>
    <w:rsid w:val="00454512"/>
    <w:rsid w:val="004612D7"/>
    <w:rsid w:val="0046576C"/>
    <w:rsid w:val="004679EE"/>
    <w:rsid w:val="0047121E"/>
    <w:rsid w:val="004740F8"/>
    <w:rsid w:val="00474A5A"/>
    <w:rsid w:val="00475FD8"/>
    <w:rsid w:val="00477407"/>
    <w:rsid w:val="004810D5"/>
    <w:rsid w:val="00482B3D"/>
    <w:rsid w:val="0048656A"/>
    <w:rsid w:val="00486EC9"/>
    <w:rsid w:val="00492533"/>
    <w:rsid w:val="004A32F8"/>
    <w:rsid w:val="004A3E43"/>
    <w:rsid w:val="004A5BF9"/>
    <w:rsid w:val="004B205D"/>
    <w:rsid w:val="004B41D1"/>
    <w:rsid w:val="004B67C9"/>
    <w:rsid w:val="004B7594"/>
    <w:rsid w:val="004B7956"/>
    <w:rsid w:val="004C4E88"/>
    <w:rsid w:val="004C52A3"/>
    <w:rsid w:val="004C6739"/>
    <w:rsid w:val="004D1A26"/>
    <w:rsid w:val="004D1BC1"/>
    <w:rsid w:val="004D2E53"/>
    <w:rsid w:val="004E0E63"/>
    <w:rsid w:val="004E19FD"/>
    <w:rsid w:val="004E1FFA"/>
    <w:rsid w:val="004E27EB"/>
    <w:rsid w:val="004E29AF"/>
    <w:rsid w:val="004E3A0C"/>
    <w:rsid w:val="004E6D1A"/>
    <w:rsid w:val="004E79D0"/>
    <w:rsid w:val="004E7EE1"/>
    <w:rsid w:val="004F09CD"/>
    <w:rsid w:val="004F227E"/>
    <w:rsid w:val="004F2E5B"/>
    <w:rsid w:val="004F4A31"/>
    <w:rsid w:val="00500941"/>
    <w:rsid w:val="00501A1B"/>
    <w:rsid w:val="00501D1F"/>
    <w:rsid w:val="00510DE1"/>
    <w:rsid w:val="005155E3"/>
    <w:rsid w:val="00516396"/>
    <w:rsid w:val="00516823"/>
    <w:rsid w:val="00522F00"/>
    <w:rsid w:val="005277F9"/>
    <w:rsid w:val="0053016A"/>
    <w:rsid w:val="005313E8"/>
    <w:rsid w:val="00531884"/>
    <w:rsid w:val="00532B70"/>
    <w:rsid w:val="00534C14"/>
    <w:rsid w:val="005363B1"/>
    <w:rsid w:val="00541B6D"/>
    <w:rsid w:val="005421A8"/>
    <w:rsid w:val="00542665"/>
    <w:rsid w:val="00543067"/>
    <w:rsid w:val="005438BA"/>
    <w:rsid w:val="005451AF"/>
    <w:rsid w:val="00547577"/>
    <w:rsid w:val="0054783D"/>
    <w:rsid w:val="005522AB"/>
    <w:rsid w:val="005538D9"/>
    <w:rsid w:val="005545A2"/>
    <w:rsid w:val="005546A1"/>
    <w:rsid w:val="00557CAF"/>
    <w:rsid w:val="00560216"/>
    <w:rsid w:val="005611DD"/>
    <w:rsid w:val="005612C5"/>
    <w:rsid w:val="0056168A"/>
    <w:rsid w:val="005648DC"/>
    <w:rsid w:val="00572640"/>
    <w:rsid w:val="00575D79"/>
    <w:rsid w:val="0057749E"/>
    <w:rsid w:val="00582627"/>
    <w:rsid w:val="00583100"/>
    <w:rsid w:val="005848D9"/>
    <w:rsid w:val="00586D63"/>
    <w:rsid w:val="00587478"/>
    <w:rsid w:val="00596CC1"/>
    <w:rsid w:val="00597083"/>
    <w:rsid w:val="005A020F"/>
    <w:rsid w:val="005A6DA6"/>
    <w:rsid w:val="005B2137"/>
    <w:rsid w:val="005B2FE1"/>
    <w:rsid w:val="005B401F"/>
    <w:rsid w:val="005C1C61"/>
    <w:rsid w:val="005C3119"/>
    <w:rsid w:val="005C4091"/>
    <w:rsid w:val="005C483A"/>
    <w:rsid w:val="005C514C"/>
    <w:rsid w:val="005C63AC"/>
    <w:rsid w:val="005C66E8"/>
    <w:rsid w:val="005D16B8"/>
    <w:rsid w:val="005D24CD"/>
    <w:rsid w:val="005D3556"/>
    <w:rsid w:val="005D5A28"/>
    <w:rsid w:val="005E0B66"/>
    <w:rsid w:val="005E1B04"/>
    <w:rsid w:val="005E2977"/>
    <w:rsid w:val="005E2B82"/>
    <w:rsid w:val="005E4F47"/>
    <w:rsid w:val="005E5DF8"/>
    <w:rsid w:val="005E71D5"/>
    <w:rsid w:val="005E7F00"/>
    <w:rsid w:val="005F1737"/>
    <w:rsid w:val="005F3C6C"/>
    <w:rsid w:val="005F51F7"/>
    <w:rsid w:val="005F536E"/>
    <w:rsid w:val="005F7B66"/>
    <w:rsid w:val="0060357E"/>
    <w:rsid w:val="0060365F"/>
    <w:rsid w:val="00611377"/>
    <w:rsid w:val="00612416"/>
    <w:rsid w:val="00613E1D"/>
    <w:rsid w:val="00615344"/>
    <w:rsid w:val="00617BF8"/>
    <w:rsid w:val="006200BD"/>
    <w:rsid w:val="0062082E"/>
    <w:rsid w:val="0062245F"/>
    <w:rsid w:val="006234C9"/>
    <w:rsid w:val="00626F73"/>
    <w:rsid w:val="0062766C"/>
    <w:rsid w:val="00630159"/>
    <w:rsid w:val="0063216D"/>
    <w:rsid w:val="006347FD"/>
    <w:rsid w:val="00641890"/>
    <w:rsid w:val="00644628"/>
    <w:rsid w:val="00645960"/>
    <w:rsid w:val="006468F7"/>
    <w:rsid w:val="00653A18"/>
    <w:rsid w:val="006546ED"/>
    <w:rsid w:val="00654A51"/>
    <w:rsid w:val="00657471"/>
    <w:rsid w:val="00661961"/>
    <w:rsid w:val="00661E81"/>
    <w:rsid w:val="0066436B"/>
    <w:rsid w:val="00666310"/>
    <w:rsid w:val="006674A9"/>
    <w:rsid w:val="00667933"/>
    <w:rsid w:val="006702FE"/>
    <w:rsid w:val="0067181F"/>
    <w:rsid w:val="006719E5"/>
    <w:rsid w:val="00675419"/>
    <w:rsid w:val="00675B56"/>
    <w:rsid w:val="006762DC"/>
    <w:rsid w:val="00677212"/>
    <w:rsid w:val="00680B76"/>
    <w:rsid w:val="00680CEB"/>
    <w:rsid w:val="00681091"/>
    <w:rsid w:val="0068211F"/>
    <w:rsid w:val="006828C8"/>
    <w:rsid w:val="00682FBE"/>
    <w:rsid w:val="006834F6"/>
    <w:rsid w:val="00686C06"/>
    <w:rsid w:val="00692273"/>
    <w:rsid w:val="006923C6"/>
    <w:rsid w:val="006933C9"/>
    <w:rsid w:val="00693EB9"/>
    <w:rsid w:val="00695CB4"/>
    <w:rsid w:val="0069777F"/>
    <w:rsid w:val="00697BBF"/>
    <w:rsid w:val="006A0BA2"/>
    <w:rsid w:val="006A3088"/>
    <w:rsid w:val="006A4BAF"/>
    <w:rsid w:val="006A5FC6"/>
    <w:rsid w:val="006B001B"/>
    <w:rsid w:val="006B04A9"/>
    <w:rsid w:val="006B0934"/>
    <w:rsid w:val="006B1416"/>
    <w:rsid w:val="006B1C1E"/>
    <w:rsid w:val="006B2AF5"/>
    <w:rsid w:val="006B3443"/>
    <w:rsid w:val="006B6000"/>
    <w:rsid w:val="006B7E6D"/>
    <w:rsid w:val="006C1798"/>
    <w:rsid w:val="006C3CC9"/>
    <w:rsid w:val="006C4548"/>
    <w:rsid w:val="006C458E"/>
    <w:rsid w:val="006C4A93"/>
    <w:rsid w:val="006D119E"/>
    <w:rsid w:val="006D26B5"/>
    <w:rsid w:val="006D320B"/>
    <w:rsid w:val="006D3A38"/>
    <w:rsid w:val="006D5418"/>
    <w:rsid w:val="006D6B23"/>
    <w:rsid w:val="006D6B5A"/>
    <w:rsid w:val="006E0C81"/>
    <w:rsid w:val="006E1E4E"/>
    <w:rsid w:val="006E2B4C"/>
    <w:rsid w:val="006E4317"/>
    <w:rsid w:val="006E6E4B"/>
    <w:rsid w:val="006F1563"/>
    <w:rsid w:val="006F2D42"/>
    <w:rsid w:val="006F414C"/>
    <w:rsid w:val="006F7203"/>
    <w:rsid w:val="006F774C"/>
    <w:rsid w:val="006F7942"/>
    <w:rsid w:val="007011AF"/>
    <w:rsid w:val="0071037E"/>
    <w:rsid w:val="007111EF"/>
    <w:rsid w:val="00711872"/>
    <w:rsid w:val="00715340"/>
    <w:rsid w:val="007153C1"/>
    <w:rsid w:val="00717B51"/>
    <w:rsid w:val="00720BEE"/>
    <w:rsid w:val="00720F6D"/>
    <w:rsid w:val="007228EC"/>
    <w:rsid w:val="0072459E"/>
    <w:rsid w:val="00724A0E"/>
    <w:rsid w:val="00731DDE"/>
    <w:rsid w:val="0073278E"/>
    <w:rsid w:val="00733A11"/>
    <w:rsid w:val="007413CE"/>
    <w:rsid w:val="00743DD9"/>
    <w:rsid w:val="00744D3A"/>
    <w:rsid w:val="007452D0"/>
    <w:rsid w:val="007576C8"/>
    <w:rsid w:val="0076151B"/>
    <w:rsid w:val="007616D2"/>
    <w:rsid w:val="00765AFB"/>
    <w:rsid w:val="00766C58"/>
    <w:rsid w:val="00766FDE"/>
    <w:rsid w:val="00774DD5"/>
    <w:rsid w:val="00775386"/>
    <w:rsid w:val="007847CF"/>
    <w:rsid w:val="007919F6"/>
    <w:rsid w:val="00794977"/>
    <w:rsid w:val="0079705D"/>
    <w:rsid w:val="007A03AE"/>
    <w:rsid w:val="007A3A63"/>
    <w:rsid w:val="007A68D8"/>
    <w:rsid w:val="007B0D73"/>
    <w:rsid w:val="007B1974"/>
    <w:rsid w:val="007B5761"/>
    <w:rsid w:val="007C3211"/>
    <w:rsid w:val="007D256E"/>
    <w:rsid w:val="007D356B"/>
    <w:rsid w:val="007D4F6C"/>
    <w:rsid w:val="007D7245"/>
    <w:rsid w:val="007E08BC"/>
    <w:rsid w:val="007E19A4"/>
    <w:rsid w:val="007E2067"/>
    <w:rsid w:val="007E339D"/>
    <w:rsid w:val="007E4B88"/>
    <w:rsid w:val="007E72E2"/>
    <w:rsid w:val="007F3927"/>
    <w:rsid w:val="007F53B3"/>
    <w:rsid w:val="007F7D89"/>
    <w:rsid w:val="007F7FCE"/>
    <w:rsid w:val="008006D3"/>
    <w:rsid w:val="00802DF7"/>
    <w:rsid w:val="00804943"/>
    <w:rsid w:val="00805118"/>
    <w:rsid w:val="00807467"/>
    <w:rsid w:val="00807FEC"/>
    <w:rsid w:val="00810974"/>
    <w:rsid w:val="00812DDF"/>
    <w:rsid w:val="00815355"/>
    <w:rsid w:val="0081636B"/>
    <w:rsid w:val="00821A66"/>
    <w:rsid w:val="00823C63"/>
    <w:rsid w:val="00825E38"/>
    <w:rsid w:val="00830622"/>
    <w:rsid w:val="00831A6F"/>
    <w:rsid w:val="00832698"/>
    <w:rsid w:val="008327A6"/>
    <w:rsid w:val="0083502E"/>
    <w:rsid w:val="00835F80"/>
    <w:rsid w:val="00836122"/>
    <w:rsid w:val="00843298"/>
    <w:rsid w:val="008459AE"/>
    <w:rsid w:val="00846193"/>
    <w:rsid w:val="00846A4D"/>
    <w:rsid w:val="00854208"/>
    <w:rsid w:val="008544CA"/>
    <w:rsid w:val="0085569D"/>
    <w:rsid w:val="00856C2D"/>
    <w:rsid w:val="00860DB5"/>
    <w:rsid w:val="008645AA"/>
    <w:rsid w:val="008721D1"/>
    <w:rsid w:val="00884D06"/>
    <w:rsid w:val="00891DEE"/>
    <w:rsid w:val="00892ABE"/>
    <w:rsid w:val="00894B92"/>
    <w:rsid w:val="00894EC1"/>
    <w:rsid w:val="00896B04"/>
    <w:rsid w:val="008A10E7"/>
    <w:rsid w:val="008A3D6E"/>
    <w:rsid w:val="008A53BB"/>
    <w:rsid w:val="008A5BCB"/>
    <w:rsid w:val="008B10E8"/>
    <w:rsid w:val="008B1C4F"/>
    <w:rsid w:val="008B3C2C"/>
    <w:rsid w:val="008B68E6"/>
    <w:rsid w:val="008B757B"/>
    <w:rsid w:val="008C1061"/>
    <w:rsid w:val="008D0490"/>
    <w:rsid w:val="008D13E6"/>
    <w:rsid w:val="008D1495"/>
    <w:rsid w:val="008D2269"/>
    <w:rsid w:val="008D3578"/>
    <w:rsid w:val="008D35E7"/>
    <w:rsid w:val="008D583C"/>
    <w:rsid w:val="008D79E4"/>
    <w:rsid w:val="008E0A00"/>
    <w:rsid w:val="008E2631"/>
    <w:rsid w:val="008E6AE6"/>
    <w:rsid w:val="008F7E82"/>
    <w:rsid w:val="00906079"/>
    <w:rsid w:val="009077C3"/>
    <w:rsid w:val="009149F1"/>
    <w:rsid w:val="009222F9"/>
    <w:rsid w:val="0092271A"/>
    <w:rsid w:val="00922E4E"/>
    <w:rsid w:val="00924871"/>
    <w:rsid w:val="00925424"/>
    <w:rsid w:val="00927223"/>
    <w:rsid w:val="00927815"/>
    <w:rsid w:val="00931CBC"/>
    <w:rsid w:val="00932F48"/>
    <w:rsid w:val="0093652A"/>
    <w:rsid w:val="00937681"/>
    <w:rsid w:val="009379AF"/>
    <w:rsid w:val="00940BDE"/>
    <w:rsid w:val="00942FB2"/>
    <w:rsid w:val="009461CD"/>
    <w:rsid w:val="009461F3"/>
    <w:rsid w:val="0094664C"/>
    <w:rsid w:val="00946EF7"/>
    <w:rsid w:val="00947FA8"/>
    <w:rsid w:val="009521A7"/>
    <w:rsid w:val="0095477D"/>
    <w:rsid w:val="009560AD"/>
    <w:rsid w:val="00957DFF"/>
    <w:rsid w:val="00960EE6"/>
    <w:rsid w:val="00963274"/>
    <w:rsid w:val="0096642B"/>
    <w:rsid w:val="00973E14"/>
    <w:rsid w:val="00975345"/>
    <w:rsid w:val="00977020"/>
    <w:rsid w:val="0097719C"/>
    <w:rsid w:val="00980A81"/>
    <w:rsid w:val="009835D0"/>
    <w:rsid w:val="0099151F"/>
    <w:rsid w:val="00993D97"/>
    <w:rsid w:val="00996508"/>
    <w:rsid w:val="009A11C2"/>
    <w:rsid w:val="009A2DF6"/>
    <w:rsid w:val="009A342C"/>
    <w:rsid w:val="009A3A01"/>
    <w:rsid w:val="009A4EB0"/>
    <w:rsid w:val="009B43D2"/>
    <w:rsid w:val="009B568F"/>
    <w:rsid w:val="009C0132"/>
    <w:rsid w:val="009C0BB7"/>
    <w:rsid w:val="009C1CF7"/>
    <w:rsid w:val="009C1E29"/>
    <w:rsid w:val="009C281E"/>
    <w:rsid w:val="009C7431"/>
    <w:rsid w:val="009D3873"/>
    <w:rsid w:val="009D575B"/>
    <w:rsid w:val="009D7267"/>
    <w:rsid w:val="009E0A4B"/>
    <w:rsid w:val="009E229F"/>
    <w:rsid w:val="009E4871"/>
    <w:rsid w:val="009E6C00"/>
    <w:rsid w:val="009E7B22"/>
    <w:rsid w:val="009F0445"/>
    <w:rsid w:val="009F61A2"/>
    <w:rsid w:val="00A007BE"/>
    <w:rsid w:val="00A00B5D"/>
    <w:rsid w:val="00A02166"/>
    <w:rsid w:val="00A05F6F"/>
    <w:rsid w:val="00A11239"/>
    <w:rsid w:val="00A12178"/>
    <w:rsid w:val="00A130E4"/>
    <w:rsid w:val="00A139DE"/>
    <w:rsid w:val="00A140B6"/>
    <w:rsid w:val="00A14D92"/>
    <w:rsid w:val="00A16188"/>
    <w:rsid w:val="00A17449"/>
    <w:rsid w:val="00A178C0"/>
    <w:rsid w:val="00A20691"/>
    <w:rsid w:val="00A21AE6"/>
    <w:rsid w:val="00A23C37"/>
    <w:rsid w:val="00A24532"/>
    <w:rsid w:val="00A27420"/>
    <w:rsid w:val="00A3334B"/>
    <w:rsid w:val="00A33B49"/>
    <w:rsid w:val="00A353BC"/>
    <w:rsid w:val="00A365A4"/>
    <w:rsid w:val="00A367C3"/>
    <w:rsid w:val="00A40776"/>
    <w:rsid w:val="00A43D5B"/>
    <w:rsid w:val="00A44C8E"/>
    <w:rsid w:val="00A44FB7"/>
    <w:rsid w:val="00A542F1"/>
    <w:rsid w:val="00A55FFD"/>
    <w:rsid w:val="00A56134"/>
    <w:rsid w:val="00A56623"/>
    <w:rsid w:val="00A568F5"/>
    <w:rsid w:val="00A63D68"/>
    <w:rsid w:val="00A6596D"/>
    <w:rsid w:val="00A65B8F"/>
    <w:rsid w:val="00A66468"/>
    <w:rsid w:val="00A707F5"/>
    <w:rsid w:val="00A719FC"/>
    <w:rsid w:val="00A73399"/>
    <w:rsid w:val="00A750DF"/>
    <w:rsid w:val="00A80A4D"/>
    <w:rsid w:val="00A81158"/>
    <w:rsid w:val="00A850BF"/>
    <w:rsid w:val="00A85F37"/>
    <w:rsid w:val="00A90920"/>
    <w:rsid w:val="00A90B07"/>
    <w:rsid w:val="00A92E17"/>
    <w:rsid w:val="00A965A8"/>
    <w:rsid w:val="00AA012F"/>
    <w:rsid w:val="00AA1AC3"/>
    <w:rsid w:val="00AA41A8"/>
    <w:rsid w:val="00AB5212"/>
    <w:rsid w:val="00AC4401"/>
    <w:rsid w:val="00AD3AB0"/>
    <w:rsid w:val="00AD3FF9"/>
    <w:rsid w:val="00AD4325"/>
    <w:rsid w:val="00AE0F9C"/>
    <w:rsid w:val="00AE1F25"/>
    <w:rsid w:val="00AF5641"/>
    <w:rsid w:val="00AF7432"/>
    <w:rsid w:val="00B02419"/>
    <w:rsid w:val="00B03396"/>
    <w:rsid w:val="00B03D01"/>
    <w:rsid w:val="00B04165"/>
    <w:rsid w:val="00B0639A"/>
    <w:rsid w:val="00B13D04"/>
    <w:rsid w:val="00B14EF9"/>
    <w:rsid w:val="00B17D24"/>
    <w:rsid w:val="00B20A5D"/>
    <w:rsid w:val="00B20B61"/>
    <w:rsid w:val="00B21B2A"/>
    <w:rsid w:val="00B23C8D"/>
    <w:rsid w:val="00B246F4"/>
    <w:rsid w:val="00B304E6"/>
    <w:rsid w:val="00B3328B"/>
    <w:rsid w:val="00B345B9"/>
    <w:rsid w:val="00B377D9"/>
    <w:rsid w:val="00B40D3F"/>
    <w:rsid w:val="00B41035"/>
    <w:rsid w:val="00B42B25"/>
    <w:rsid w:val="00B4328B"/>
    <w:rsid w:val="00B45B92"/>
    <w:rsid w:val="00B4629A"/>
    <w:rsid w:val="00B519E2"/>
    <w:rsid w:val="00B5232F"/>
    <w:rsid w:val="00B52698"/>
    <w:rsid w:val="00B52CF6"/>
    <w:rsid w:val="00B5416A"/>
    <w:rsid w:val="00B55D94"/>
    <w:rsid w:val="00B605EF"/>
    <w:rsid w:val="00B610C5"/>
    <w:rsid w:val="00B62BE9"/>
    <w:rsid w:val="00B66235"/>
    <w:rsid w:val="00B6645D"/>
    <w:rsid w:val="00B67BF8"/>
    <w:rsid w:val="00B72E4C"/>
    <w:rsid w:val="00B76984"/>
    <w:rsid w:val="00B772EB"/>
    <w:rsid w:val="00B820A0"/>
    <w:rsid w:val="00B83A48"/>
    <w:rsid w:val="00B84517"/>
    <w:rsid w:val="00B87954"/>
    <w:rsid w:val="00B91FFB"/>
    <w:rsid w:val="00B94630"/>
    <w:rsid w:val="00B96305"/>
    <w:rsid w:val="00B97E20"/>
    <w:rsid w:val="00BA1DA8"/>
    <w:rsid w:val="00BA3A30"/>
    <w:rsid w:val="00BA54F6"/>
    <w:rsid w:val="00BA669A"/>
    <w:rsid w:val="00BA6DB2"/>
    <w:rsid w:val="00BA709F"/>
    <w:rsid w:val="00BB0141"/>
    <w:rsid w:val="00BB0229"/>
    <w:rsid w:val="00BB0622"/>
    <w:rsid w:val="00BB0D3B"/>
    <w:rsid w:val="00BB5117"/>
    <w:rsid w:val="00BB5A04"/>
    <w:rsid w:val="00BB6931"/>
    <w:rsid w:val="00BC3EE8"/>
    <w:rsid w:val="00BC472A"/>
    <w:rsid w:val="00BC5BB4"/>
    <w:rsid w:val="00BC61B4"/>
    <w:rsid w:val="00BC7FF0"/>
    <w:rsid w:val="00BD324A"/>
    <w:rsid w:val="00BD7B86"/>
    <w:rsid w:val="00BE282B"/>
    <w:rsid w:val="00BE33F7"/>
    <w:rsid w:val="00BE5506"/>
    <w:rsid w:val="00BE7452"/>
    <w:rsid w:val="00BE771D"/>
    <w:rsid w:val="00BF1C6C"/>
    <w:rsid w:val="00BF7E27"/>
    <w:rsid w:val="00C02816"/>
    <w:rsid w:val="00C0632F"/>
    <w:rsid w:val="00C06F3E"/>
    <w:rsid w:val="00C07203"/>
    <w:rsid w:val="00C1019B"/>
    <w:rsid w:val="00C1176F"/>
    <w:rsid w:val="00C11D8B"/>
    <w:rsid w:val="00C1257E"/>
    <w:rsid w:val="00C12B66"/>
    <w:rsid w:val="00C138F5"/>
    <w:rsid w:val="00C16461"/>
    <w:rsid w:val="00C236A3"/>
    <w:rsid w:val="00C24259"/>
    <w:rsid w:val="00C250B1"/>
    <w:rsid w:val="00C26296"/>
    <w:rsid w:val="00C31CD5"/>
    <w:rsid w:val="00C355C2"/>
    <w:rsid w:val="00C355E0"/>
    <w:rsid w:val="00C36E09"/>
    <w:rsid w:val="00C40813"/>
    <w:rsid w:val="00C40F8A"/>
    <w:rsid w:val="00C42343"/>
    <w:rsid w:val="00C44472"/>
    <w:rsid w:val="00C478EF"/>
    <w:rsid w:val="00C5104B"/>
    <w:rsid w:val="00C515FA"/>
    <w:rsid w:val="00C54848"/>
    <w:rsid w:val="00C61C63"/>
    <w:rsid w:val="00C62701"/>
    <w:rsid w:val="00C62F80"/>
    <w:rsid w:val="00C662BF"/>
    <w:rsid w:val="00C671CA"/>
    <w:rsid w:val="00C67AB5"/>
    <w:rsid w:val="00C7025E"/>
    <w:rsid w:val="00C72BD7"/>
    <w:rsid w:val="00C72DB4"/>
    <w:rsid w:val="00C81245"/>
    <w:rsid w:val="00C81861"/>
    <w:rsid w:val="00C875D4"/>
    <w:rsid w:val="00C87910"/>
    <w:rsid w:val="00C91FE1"/>
    <w:rsid w:val="00C927EB"/>
    <w:rsid w:val="00C940E3"/>
    <w:rsid w:val="00C97F51"/>
    <w:rsid w:val="00CA1734"/>
    <w:rsid w:val="00CA2D7D"/>
    <w:rsid w:val="00CA3B92"/>
    <w:rsid w:val="00CA44D7"/>
    <w:rsid w:val="00CA5A1A"/>
    <w:rsid w:val="00CA60FE"/>
    <w:rsid w:val="00CA77B1"/>
    <w:rsid w:val="00CB21C9"/>
    <w:rsid w:val="00CB23A1"/>
    <w:rsid w:val="00CB34ED"/>
    <w:rsid w:val="00CB58AD"/>
    <w:rsid w:val="00CB5D2D"/>
    <w:rsid w:val="00CB72BE"/>
    <w:rsid w:val="00CC2C79"/>
    <w:rsid w:val="00CC3BE0"/>
    <w:rsid w:val="00CC3D0F"/>
    <w:rsid w:val="00CD1B90"/>
    <w:rsid w:val="00CD4399"/>
    <w:rsid w:val="00CD47A1"/>
    <w:rsid w:val="00CD4A4E"/>
    <w:rsid w:val="00CD60E0"/>
    <w:rsid w:val="00CD68F2"/>
    <w:rsid w:val="00CD7DD5"/>
    <w:rsid w:val="00CE2EAF"/>
    <w:rsid w:val="00CE583D"/>
    <w:rsid w:val="00CE7319"/>
    <w:rsid w:val="00CF145B"/>
    <w:rsid w:val="00CF34A4"/>
    <w:rsid w:val="00CF447D"/>
    <w:rsid w:val="00CF53BE"/>
    <w:rsid w:val="00D005CE"/>
    <w:rsid w:val="00D00778"/>
    <w:rsid w:val="00D0178F"/>
    <w:rsid w:val="00D0330C"/>
    <w:rsid w:val="00D04303"/>
    <w:rsid w:val="00D10BCE"/>
    <w:rsid w:val="00D11F56"/>
    <w:rsid w:val="00D1220A"/>
    <w:rsid w:val="00D12D48"/>
    <w:rsid w:val="00D138B5"/>
    <w:rsid w:val="00D13CBC"/>
    <w:rsid w:val="00D14D9B"/>
    <w:rsid w:val="00D15575"/>
    <w:rsid w:val="00D16468"/>
    <w:rsid w:val="00D20A98"/>
    <w:rsid w:val="00D21431"/>
    <w:rsid w:val="00D26810"/>
    <w:rsid w:val="00D26888"/>
    <w:rsid w:val="00D30A61"/>
    <w:rsid w:val="00D30B3F"/>
    <w:rsid w:val="00D31AF1"/>
    <w:rsid w:val="00D3212F"/>
    <w:rsid w:val="00D348AF"/>
    <w:rsid w:val="00D36A03"/>
    <w:rsid w:val="00D4422A"/>
    <w:rsid w:val="00D50922"/>
    <w:rsid w:val="00D5122D"/>
    <w:rsid w:val="00D565C8"/>
    <w:rsid w:val="00D5692F"/>
    <w:rsid w:val="00D573BB"/>
    <w:rsid w:val="00D600DB"/>
    <w:rsid w:val="00D61E54"/>
    <w:rsid w:val="00D65C83"/>
    <w:rsid w:val="00D65F93"/>
    <w:rsid w:val="00D6651D"/>
    <w:rsid w:val="00D6739D"/>
    <w:rsid w:val="00D7019E"/>
    <w:rsid w:val="00D72F16"/>
    <w:rsid w:val="00D81BFE"/>
    <w:rsid w:val="00D833FE"/>
    <w:rsid w:val="00D86E92"/>
    <w:rsid w:val="00D91E08"/>
    <w:rsid w:val="00D91FD9"/>
    <w:rsid w:val="00D92C1F"/>
    <w:rsid w:val="00D93BF4"/>
    <w:rsid w:val="00D948CA"/>
    <w:rsid w:val="00D94EAC"/>
    <w:rsid w:val="00D9535F"/>
    <w:rsid w:val="00DA14FB"/>
    <w:rsid w:val="00DB1F66"/>
    <w:rsid w:val="00DB2C02"/>
    <w:rsid w:val="00DB3761"/>
    <w:rsid w:val="00DB5118"/>
    <w:rsid w:val="00DB7E4A"/>
    <w:rsid w:val="00DC176C"/>
    <w:rsid w:val="00DC27A8"/>
    <w:rsid w:val="00DC33F8"/>
    <w:rsid w:val="00DC4388"/>
    <w:rsid w:val="00DC4A47"/>
    <w:rsid w:val="00DC5A60"/>
    <w:rsid w:val="00DD432E"/>
    <w:rsid w:val="00DE2657"/>
    <w:rsid w:val="00DF1076"/>
    <w:rsid w:val="00DF3544"/>
    <w:rsid w:val="00DF635E"/>
    <w:rsid w:val="00DF793F"/>
    <w:rsid w:val="00E007EE"/>
    <w:rsid w:val="00E0099C"/>
    <w:rsid w:val="00E009CD"/>
    <w:rsid w:val="00E009F2"/>
    <w:rsid w:val="00E0143C"/>
    <w:rsid w:val="00E02234"/>
    <w:rsid w:val="00E02897"/>
    <w:rsid w:val="00E0521E"/>
    <w:rsid w:val="00E054B1"/>
    <w:rsid w:val="00E06FCB"/>
    <w:rsid w:val="00E1556C"/>
    <w:rsid w:val="00E2431F"/>
    <w:rsid w:val="00E27C3B"/>
    <w:rsid w:val="00E36215"/>
    <w:rsid w:val="00E36F31"/>
    <w:rsid w:val="00E40615"/>
    <w:rsid w:val="00E41EB6"/>
    <w:rsid w:val="00E45CB5"/>
    <w:rsid w:val="00E47CB1"/>
    <w:rsid w:val="00E47E44"/>
    <w:rsid w:val="00E503F5"/>
    <w:rsid w:val="00E5147B"/>
    <w:rsid w:val="00E514C5"/>
    <w:rsid w:val="00E61652"/>
    <w:rsid w:val="00E61B72"/>
    <w:rsid w:val="00E63280"/>
    <w:rsid w:val="00E646DB"/>
    <w:rsid w:val="00E6573C"/>
    <w:rsid w:val="00E67D7B"/>
    <w:rsid w:val="00E754FB"/>
    <w:rsid w:val="00E756EB"/>
    <w:rsid w:val="00E80673"/>
    <w:rsid w:val="00E83FC5"/>
    <w:rsid w:val="00E90C52"/>
    <w:rsid w:val="00E91B5A"/>
    <w:rsid w:val="00E955D9"/>
    <w:rsid w:val="00E96829"/>
    <w:rsid w:val="00E97843"/>
    <w:rsid w:val="00E978B2"/>
    <w:rsid w:val="00EA0E1E"/>
    <w:rsid w:val="00EA3ADD"/>
    <w:rsid w:val="00EA790F"/>
    <w:rsid w:val="00EA7C51"/>
    <w:rsid w:val="00EB0C80"/>
    <w:rsid w:val="00EB24D9"/>
    <w:rsid w:val="00EB46A6"/>
    <w:rsid w:val="00EB5988"/>
    <w:rsid w:val="00EC073E"/>
    <w:rsid w:val="00EC0D5D"/>
    <w:rsid w:val="00EC14BB"/>
    <w:rsid w:val="00EC4C9D"/>
    <w:rsid w:val="00EC7214"/>
    <w:rsid w:val="00ED4C7B"/>
    <w:rsid w:val="00ED55E6"/>
    <w:rsid w:val="00EE3393"/>
    <w:rsid w:val="00EE4BD8"/>
    <w:rsid w:val="00EE66BB"/>
    <w:rsid w:val="00EF19E0"/>
    <w:rsid w:val="00EF1F6C"/>
    <w:rsid w:val="00EF2DF3"/>
    <w:rsid w:val="00EF37AF"/>
    <w:rsid w:val="00EF3FA3"/>
    <w:rsid w:val="00EF6B6C"/>
    <w:rsid w:val="00F0227E"/>
    <w:rsid w:val="00F05665"/>
    <w:rsid w:val="00F12CB4"/>
    <w:rsid w:val="00F14A7A"/>
    <w:rsid w:val="00F208B5"/>
    <w:rsid w:val="00F225D0"/>
    <w:rsid w:val="00F2573E"/>
    <w:rsid w:val="00F274F3"/>
    <w:rsid w:val="00F322BA"/>
    <w:rsid w:val="00F34347"/>
    <w:rsid w:val="00F35097"/>
    <w:rsid w:val="00F35823"/>
    <w:rsid w:val="00F426CF"/>
    <w:rsid w:val="00F42A42"/>
    <w:rsid w:val="00F4520D"/>
    <w:rsid w:val="00F464BB"/>
    <w:rsid w:val="00F47DB2"/>
    <w:rsid w:val="00F51414"/>
    <w:rsid w:val="00F525ED"/>
    <w:rsid w:val="00F61472"/>
    <w:rsid w:val="00F62002"/>
    <w:rsid w:val="00F62D0B"/>
    <w:rsid w:val="00F6343A"/>
    <w:rsid w:val="00F64473"/>
    <w:rsid w:val="00F64895"/>
    <w:rsid w:val="00F66D48"/>
    <w:rsid w:val="00F67DCD"/>
    <w:rsid w:val="00F7097B"/>
    <w:rsid w:val="00F71EAF"/>
    <w:rsid w:val="00F728B3"/>
    <w:rsid w:val="00F72B2D"/>
    <w:rsid w:val="00F733B6"/>
    <w:rsid w:val="00F73922"/>
    <w:rsid w:val="00F77480"/>
    <w:rsid w:val="00F81B33"/>
    <w:rsid w:val="00F82E26"/>
    <w:rsid w:val="00F83B77"/>
    <w:rsid w:val="00F8522C"/>
    <w:rsid w:val="00F86918"/>
    <w:rsid w:val="00F87550"/>
    <w:rsid w:val="00F90ECE"/>
    <w:rsid w:val="00F9131C"/>
    <w:rsid w:val="00F92B9E"/>
    <w:rsid w:val="00F96B08"/>
    <w:rsid w:val="00FA1568"/>
    <w:rsid w:val="00FA1612"/>
    <w:rsid w:val="00FA23D4"/>
    <w:rsid w:val="00FA313E"/>
    <w:rsid w:val="00FA3693"/>
    <w:rsid w:val="00FA3D4D"/>
    <w:rsid w:val="00FA59EC"/>
    <w:rsid w:val="00FB1200"/>
    <w:rsid w:val="00FB2DED"/>
    <w:rsid w:val="00FB5730"/>
    <w:rsid w:val="00FB689F"/>
    <w:rsid w:val="00FB731B"/>
    <w:rsid w:val="00FC0879"/>
    <w:rsid w:val="00FC0D56"/>
    <w:rsid w:val="00FC38D6"/>
    <w:rsid w:val="00FC6AF9"/>
    <w:rsid w:val="00FC7E2C"/>
    <w:rsid w:val="00FD0A11"/>
    <w:rsid w:val="00FD3F83"/>
    <w:rsid w:val="00FD7692"/>
    <w:rsid w:val="00FE12C3"/>
    <w:rsid w:val="00FE2ABE"/>
    <w:rsid w:val="00FE4B28"/>
    <w:rsid w:val="00FE4CE3"/>
    <w:rsid w:val="00FE5DF8"/>
    <w:rsid w:val="00FE6638"/>
    <w:rsid w:val="00FE6A0F"/>
    <w:rsid w:val="00FE6D63"/>
    <w:rsid w:val="00FE6E9D"/>
    <w:rsid w:val="00FE7028"/>
    <w:rsid w:val="00FF03F4"/>
    <w:rsid w:val="00FF403E"/>
    <w:rsid w:val="00FF6794"/>
    <w:rsid w:val="00FF78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D47EF"/>
  <w14:defaultImageDpi w14:val="0"/>
  <w15:docId w15:val="{26188C61-46D4-4DBF-A520-4BCD066A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itre1">
    <w:name w:val="heading 1"/>
    <w:basedOn w:val="Normal"/>
    <w:next w:val="Normal"/>
    <w:link w:val="Titre1Car"/>
    <w:uiPriority w:val="99"/>
    <w:qFormat/>
    <w:pPr>
      <w:keepNext/>
      <w:outlineLvl w:val="0"/>
    </w:pPr>
    <w:rPr>
      <w:rFonts w:ascii="Arial" w:hAnsi="Arial" w:cs="Arial"/>
      <w:b/>
      <w:bCs/>
      <w:u w:val="single"/>
    </w:rPr>
  </w:style>
  <w:style w:type="paragraph" w:styleId="Titre2">
    <w:name w:val="heading 2"/>
    <w:basedOn w:val="Normal"/>
    <w:next w:val="Normal"/>
    <w:link w:val="Titre2Car"/>
    <w:uiPriority w:val="9"/>
    <w:semiHidden/>
    <w:unhideWhenUsed/>
    <w:qFormat/>
    <w:rsid w:val="00B97E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9">
    <w:name w:val="heading 9"/>
    <w:basedOn w:val="Normal"/>
    <w:next w:val="Normal"/>
    <w:link w:val="Titre9Car"/>
    <w:uiPriority w:val="9"/>
    <w:semiHidden/>
    <w:unhideWhenUsed/>
    <w:qFormat/>
    <w:rsid w:val="005E7F00"/>
    <w:pPr>
      <w:spacing w:before="240" w:after="60" w:line="276" w:lineRule="auto"/>
      <w:outlineLvl w:val="8"/>
    </w:pPr>
    <w:rPr>
      <w:rFonts w:ascii="Calibri Light" w:hAnsi="Calibri Light"/>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Cambria"/>
      <w:b/>
      <w:bCs/>
      <w:kern w:val="32"/>
      <w:sz w:val="32"/>
      <w:szCs w:val="32"/>
    </w:rPr>
  </w:style>
  <w:style w:type="paragraph" w:customStyle="1" w:styleId="Niveauducommentaire11">
    <w:name w:val="Niveau du commentaire : 11"/>
    <w:basedOn w:val="Normal"/>
    <w:uiPriority w:val="99"/>
    <w:pPr>
      <w:keepNext/>
      <w:numPr>
        <w:numId w:val="1"/>
      </w:numPr>
      <w:outlineLvl w:val="0"/>
    </w:pPr>
    <w:rPr>
      <w:rFonts w:ascii="Verdana" w:eastAsia="MS Gothi" w:hAnsi="Verdana" w:cs="Verdana"/>
    </w:rPr>
  </w:style>
  <w:style w:type="paragraph" w:customStyle="1" w:styleId="Niveauducommentaire21">
    <w:name w:val="Niveau du commentaire : 21"/>
    <w:basedOn w:val="Normal"/>
    <w:uiPriority w:val="99"/>
    <w:pPr>
      <w:keepNext/>
      <w:numPr>
        <w:ilvl w:val="1"/>
        <w:numId w:val="1"/>
      </w:numPr>
      <w:outlineLvl w:val="1"/>
    </w:pPr>
    <w:rPr>
      <w:rFonts w:ascii="Verdana" w:eastAsia="MS Gothi" w:hAnsi="Verdana" w:cs="Verdana"/>
    </w:rPr>
  </w:style>
  <w:style w:type="paragraph" w:customStyle="1" w:styleId="Niveauducommentaire31">
    <w:name w:val="Niveau du commentaire : 31"/>
    <w:basedOn w:val="Normal"/>
    <w:uiPriority w:val="99"/>
    <w:pPr>
      <w:keepNext/>
      <w:numPr>
        <w:ilvl w:val="2"/>
        <w:numId w:val="1"/>
      </w:numPr>
      <w:outlineLvl w:val="2"/>
    </w:pPr>
    <w:rPr>
      <w:rFonts w:ascii="Verdana" w:eastAsia="MS Gothi" w:hAnsi="Verdana" w:cs="Verdana"/>
    </w:rPr>
  </w:style>
  <w:style w:type="paragraph" w:customStyle="1" w:styleId="Niveauducommentaire41">
    <w:name w:val="Niveau du commentaire : 41"/>
    <w:basedOn w:val="Normal"/>
    <w:uiPriority w:val="99"/>
    <w:pPr>
      <w:keepNext/>
      <w:numPr>
        <w:ilvl w:val="3"/>
        <w:numId w:val="1"/>
      </w:numPr>
      <w:outlineLvl w:val="3"/>
    </w:pPr>
    <w:rPr>
      <w:rFonts w:ascii="Verdana" w:eastAsia="MS Gothi" w:hAnsi="Verdana" w:cs="Verdana"/>
    </w:rPr>
  </w:style>
  <w:style w:type="paragraph" w:customStyle="1" w:styleId="Niveauducommentaire51">
    <w:name w:val="Niveau du commentaire : 51"/>
    <w:basedOn w:val="Normal"/>
    <w:uiPriority w:val="99"/>
    <w:pPr>
      <w:keepNext/>
      <w:numPr>
        <w:ilvl w:val="4"/>
        <w:numId w:val="1"/>
      </w:numPr>
      <w:outlineLvl w:val="4"/>
    </w:pPr>
    <w:rPr>
      <w:rFonts w:ascii="Verdana" w:eastAsia="MS Gothi" w:hAnsi="Verdana" w:cs="Verdana"/>
    </w:rPr>
  </w:style>
  <w:style w:type="paragraph" w:customStyle="1" w:styleId="Niveauducommentaire61">
    <w:name w:val="Niveau du commentaire : 61"/>
    <w:basedOn w:val="Normal"/>
    <w:uiPriority w:val="99"/>
    <w:pPr>
      <w:keepNext/>
      <w:numPr>
        <w:ilvl w:val="5"/>
        <w:numId w:val="1"/>
      </w:numPr>
      <w:outlineLvl w:val="5"/>
    </w:pPr>
    <w:rPr>
      <w:rFonts w:ascii="Verdana" w:eastAsia="MS Gothi" w:hAnsi="Verdana" w:cs="Verdana"/>
    </w:rPr>
  </w:style>
  <w:style w:type="paragraph" w:customStyle="1" w:styleId="Niveauducommentaire71">
    <w:name w:val="Niveau du commentaire : 71"/>
    <w:basedOn w:val="Normal"/>
    <w:uiPriority w:val="99"/>
    <w:pPr>
      <w:keepNext/>
      <w:numPr>
        <w:ilvl w:val="6"/>
        <w:numId w:val="1"/>
      </w:numPr>
      <w:outlineLvl w:val="6"/>
    </w:pPr>
    <w:rPr>
      <w:rFonts w:ascii="Verdana" w:eastAsia="MS Gothi" w:hAnsi="Verdana" w:cs="Verdana"/>
    </w:rPr>
  </w:style>
  <w:style w:type="paragraph" w:customStyle="1" w:styleId="Niveauducommentaire81">
    <w:name w:val="Niveau du commentaire : 81"/>
    <w:basedOn w:val="Normal"/>
    <w:uiPriority w:val="99"/>
    <w:pPr>
      <w:keepNext/>
      <w:numPr>
        <w:ilvl w:val="7"/>
        <w:numId w:val="1"/>
      </w:numPr>
      <w:outlineLvl w:val="7"/>
    </w:pPr>
    <w:rPr>
      <w:rFonts w:ascii="Verdana" w:eastAsia="MS Gothi" w:hAnsi="Verdana" w:cs="Verdana"/>
    </w:rPr>
  </w:style>
  <w:style w:type="paragraph" w:customStyle="1" w:styleId="Niveauducommentaire91">
    <w:name w:val="Niveau du commentaire : 91"/>
    <w:basedOn w:val="Normal"/>
    <w:uiPriority w:val="99"/>
    <w:pPr>
      <w:keepNext/>
      <w:numPr>
        <w:ilvl w:val="8"/>
        <w:numId w:val="1"/>
      </w:numPr>
      <w:outlineLvl w:val="8"/>
    </w:pPr>
    <w:rPr>
      <w:rFonts w:ascii="Verdana" w:eastAsia="MS Gothi" w:hAnsi="Verdana" w:cs="Verdana"/>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locked/>
    <w:rPr>
      <w:rFonts w:ascii="Tahoma" w:hAnsi="Tahoma" w:cs="Tahoma"/>
      <w:sz w:val="16"/>
      <w:szCs w:val="16"/>
    </w:rPr>
  </w:style>
  <w:style w:type="paragraph" w:styleId="Rvision">
    <w:name w:val="Revision"/>
    <w:hidden/>
    <w:uiPriority w:val="99"/>
    <w:rPr>
      <w:rFonts w:ascii="Times New Roman" w:hAnsi="Times New Roman"/>
      <w:sz w:val="24"/>
      <w:szCs w:val="24"/>
    </w:rPr>
  </w:style>
  <w:style w:type="paragraph" w:styleId="Corpsdetexte">
    <w:name w:val="Body Text"/>
    <w:basedOn w:val="Normal"/>
    <w:link w:val="CorpsdetexteCar"/>
    <w:uiPriority w:val="99"/>
    <w:pPr>
      <w:jc w:val="both"/>
    </w:pPr>
    <w:rPr>
      <w:rFonts w:ascii="Arial" w:hAnsi="Arial" w:cs="Arial"/>
    </w:rPr>
  </w:style>
  <w:style w:type="character" w:customStyle="1" w:styleId="CorpsdetexteCar">
    <w:name w:val="Corps de texte Car"/>
    <w:link w:val="Corpsdetexte"/>
    <w:uiPriority w:val="99"/>
    <w:locked/>
    <w:rPr>
      <w:rFonts w:ascii="Times New Roman" w:hAnsi="Times New Roman" w:cs="Times New Roman"/>
      <w:sz w:val="24"/>
      <w:szCs w:val="24"/>
    </w:rPr>
  </w:style>
  <w:style w:type="paragraph" w:styleId="Corpsdetexte2">
    <w:name w:val="Body Text 2"/>
    <w:basedOn w:val="Normal"/>
    <w:link w:val="Corpsdetexte2Car"/>
    <w:uiPriority w:val="99"/>
    <w:rPr>
      <w:rFonts w:ascii="Arial" w:hAnsi="Arial" w:cs="Arial"/>
      <w:b/>
      <w:bCs/>
      <w:color w:val="0000FF"/>
    </w:rPr>
  </w:style>
  <w:style w:type="character" w:customStyle="1" w:styleId="Corpsdetexte2Car">
    <w:name w:val="Corps de texte 2 Car"/>
    <w:link w:val="Corpsdetexte2"/>
    <w:uiPriority w:val="99"/>
    <w:locked/>
    <w:rPr>
      <w:rFonts w:ascii="Times New Roman" w:hAnsi="Times New Roman" w:cs="Times New Roman"/>
      <w:sz w:val="24"/>
      <w:szCs w:val="24"/>
    </w:rPr>
  </w:style>
  <w:style w:type="paragraph" w:styleId="Retraitcorpsdetexte2">
    <w:name w:val="Body Text Indent 2"/>
    <w:basedOn w:val="Normal"/>
    <w:link w:val="Retraitcorpsdetexte2Car"/>
    <w:uiPriority w:val="99"/>
    <w:pPr>
      <w:tabs>
        <w:tab w:val="num" w:pos="360"/>
      </w:tabs>
      <w:ind w:left="360" w:hanging="720"/>
    </w:pPr>
    <w:rPr>
      <w:rFonts w:ascii="Arial" w:hAnsi="Arial" w:cs="Arial"/>
    </w:rPr>
  </w:style>
  <w:style w:type="character" w:customStyle="1" w:styleId="Retraitcorpsdetexte2Car">
    <w:name w:val="Retrait corps de texte 2 Car"/>
    <w:link w:val="Retraitcorpsdetexte2"/>
    <w:uiPriority w:val="99"/>
    <w:locked/>
    <w:rPr>
      <w:rFonts w:ascii="Times New Roman" w:hAnsi="Times New Roman" w:cs="Times New Roman"/>
      <w:sz w:val="24"/>
      <w:szCs w:val="24"/>
    </w:rPr>
  </w:style>
  <w:style w:type="paragraph" w:customStyle="1" w:styleId="Adresse">
    <w:name w:val="Adresse"/>
    <w:basedOn w:val="Normal"/>
    <w:uiPriority w:val="99"/>
    <w:pPr>
      <w:widowControl w:val="0"/>
      <w:ind w:left="5387" w:right="283"/>
    </w:pPr>
    <w:rPr>
      <w:sz w:val="22"/>
      <w:szCs w:val="22"/>
    </w:rPr>
  </w:style>
  <w:style w:type="character" w:styleId="Lienhypertexte">
    <w:name w:val="Hyperlink"/>
    <w:uiPriority w:val="99"/>
    <w:rPr>
      <w:rFonts w:ascii="Times New Roman" w:hAnsi="Times New Roman" w:cs="Times New Roman"/>
      <w:color w:val="0000FF"/>
      <w:u w:val="single"/>
    </w:rPr>
  </w:style>
  <w:style w:type="paragraph" w:styleId="Paragraphedeliste">
    <w:name w:val="List Paragraph"/>
    <w:basedOn w:val="Normal"/>
    <w:uiPriority w:val="34"/>
    <w:qFormat/>
    <w:rsid w:val="00835F80"/>
    <w:pPr>
      <w:ind w:left="708"/>
    </w:pPr>
  </w:style>
  <w:style w:type="table" w:styleId="Grilledutableau">
    <w:name w:val="Table Grid"/>
    <w:basedOn w:val="TableauNormal"/>
    <w:uiPriority w:val="39"/>
    <w:rsid w:val="00F343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66E8"/>
    <w:pPr>
      <w:spacing w:before="100" w:beforeAutospacing="1" w:after="100" w:afterAutospacing="1"/>
    </w:pPr>
  </w:style>
  <w:style w:type="paragraph" w:customStyle="1" w:styleId="Default">
    <w:name w:val="Default"/>
    <w:rsid w:val="005538D9"/>
    <w:pPr>
      <w:autoSpaceDE w:val="0"/>
      <w:autoSpaceDN w:val="0"/>
      <w:adjustRightInd w:val="0"/>
    </w:pPr>
    <w:rPr>
      <w:rFonts w:ascii="Cambria" w:hAnsi="Cambria" w:cs="Cambria"/>
      <w:color w:val="000000"/>
      <w:sz w:val="24"/>
      <w:szCs w:val="24"/>
    </w:rPr>
  </w:style>
  <w:style w:type="character" w:styleId="Marquedecommentaire">
    <w:name w:val="annotation reference"/>
    <w:basedOn w:val="Policepardfaut"/>
    <w:uiPriority w:val="99"/>
    <w:semiHidden/>
    <w:unhideWhenUsed/>
    <w:rsid w:val="001B589A"/>
    <w:rPr>
      <w:sz w:val="18"/>
      <w:szCs w:val="18"/>
    </w:rPr>
  </w:style>
  <w:style w:type="paragraph" w:styleId="Commentaire">
    <w:name w:val="annotation text"/>
    <w:basedOn w:val="Normal"/>
    <w:link w:val="CommentaireCar"/>
    <w:uiPriority w:val="99"/>
    <w:semiHidden/>
    <w:unhideWhenUsed/>
    <w:rsid w:val="001B589A"/>
  </w:style>
  <w:style w:type="character" w:customStyle="1" w:styleId="CommentaireCar">
    <w:name w:val="Commentaire Car"/>
    <w:basedOn w:val="Policepardfaut"/>
    <w:link w:val="Commentaire"/>
    <w:uiPriority w:val="99"/>
    <w:semiHidden/>
    <w:rsid w:val="001B589A"/>
    <w:rPr>
      <w:rFonts w:ascii="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1B589A"/>
    <w:rPr>
      <w:b/>
      <w:bCs/>
      <w:sz w:val="20"/>
      <w:szCs w:val="20"/>
    </w:rPr>
  </w:style>
  <w:style w:type="character" w:customStyle="1" w:styleId="ObjetducommentaireCar">
    <w:name w:val="Objet du commentaire Car"/>
    <w:basedOn w:val="CommentaireCar"/>
    <w:link w:val="Objetducommentaire"/>
    <w:uiPriority w:val="99"/>
    <w:semiHidden/>
    <w:rsid w:val="001B589A"/>
    <w:rPr>
      <w:rFonts w:ascii="Times New Roman" w:hAnsi="Times New Roman"/>
      <w:b/>
      <w:bCs/>
      <w:sz w:val="24"/>
      <w:szCs w:val="24"/>
    </w:rPr>
  </w:style>
  <w:style w:type="paragraph" w:styleId="En-tte">
    <w:name w:val="header"/>
    <w:basedOn w:val="Normal"/>
    <w:link w:val="En-tteCar"/>
    <w:uiPriority w:val="99"/>
    <w:unhideWhenUsed/>
    <w:rsid w:val="0008085C"/>
    <w:pPr>
      <w:tabs>
        <w:tab w:val="center" w:pos="4536"/>
        <w:tab w:val="right" w:pos="9072"/>
      </w:tabs>
    </w:pPr>
  </w:style>
  <w:style w:type="character" w:customStyle="1" w:styleId="En-tteCar">
    <w:name w:val="En-tête Car"/>
    <w:basedOn w:val="Policepardfaut"/>
    <w:link w:val="En-tte"/>
    <w:uiPriority w:val="99"/>
    <w:rsid w:val="0008085C"/>
    <w:rPr>
      <w:rFonts w:ascii="Times New Roman" w:hAnsi="Times New Roman"/>
      <w:sz w:val="24"/>
      <w:szCs w:val="24"/>
    </w:rPr>
  </w:style>
  <w:style w:type="paragraph" w:styleId="Pieddepage">
    <w:name w:val="footer"/>
    <w:basedOn w:val="Normal"/>
    <w:link w:val="PieddepageCar"/>
    <w:uiPriority w:val="99"/>
    <w:unhideWhenUsed/>
    <w:rsid w:val="0008085C"/>
    <w:pPr>
      <w:tabs>
        <w:tab w:val="center" w:pos="4536"/>
        <w:tab w:val="right" w:pos="9072"/>
      </w:tabs>
    </w:pPr>
  </w:style>
  <w:style w:type="character" w:customStyle="1" w:styleId="PieddepageCar">
    <w:name w:val="Pied de page Car"/>
    <w:basedOn w:val="Policepardfaut"/>
    <w:link w:val="Pieddepage"/>
    <w:uiPriority w:val="99"/>
    <w:rsid w:val="0008085C"/>
    <w:rPr>
      <w:rFonts w:ascii="Times New Roman" w:hAnsi="Times New Roman"/>
      <w:sz w:val="24"/>
      <w:szCs w:val="24"/>
    </w:rPr>
  </w:style>
  <w:style w:type="paragraph" w:customStyle="1" w:styleId="Paragraphedeliste1">
    <w:name w:val="Paragraphe de liste1"/>
    <w:basedOn w:val="Normal"/>
    <w:rsid w:val="004F09CD"/>
    <w:pPr>
      <w:ind w:left="720"/>
      <w:contextualSpacing/>
    </w:pPr>
    <w:rPr>
      <w:rFonts w:eastAsia="Calibri"/>
    </w:rPr>
  </w:style>
  <w:style w:type="character" w:customStyle="1" w:styleId="rwrro">
    <w:name w:val="rwrro"/>
    <w:basedOn w:val="Policepardfaut"/>
    <w:rsid w:val="005611DD"/>
  </w:style>
  <w:style w:type="character" w:customStyle="1" w:styleId="rpc411">
    <w:name w:val="_rpc_411"/>
    <w:basedOn w:val="Policepardfaut"/>
    <w:rsid w:val="00FA3D4D"/>
  </w:style>
  <w:style w:type="character" w:customStyle="1" w:styleId="jrnl">
    <w:name w:val="jrnl"/>
    <w:basedOn w:val="Policepardfaut"/>
    <w:rsid w:val="00A90920"/>
  </w:style>
  <w:style w:type="character" w:customStyle="1" w:styleId="Titre9Car">
    <w:name w:val="Titre 9 Car"/>
    <w:basedOn w:val="Policepardfaut"/>
    <w:link w:val="Titre9"/>
    <w:uiPriority w:val="9"/>
    <w:semiHidden/>
    <w:rsid w:val="005E7F00"/>
    <w:rPr>
      <w:rFonts w:ascii="Calibri Light" w:hAnsi="Calibri Light"/>
      <w:sz w:val="22"/>
      <w:szCs w:val="22"/>
      <w:lang w:eastAsia="en-US"/>
    </w:rPr>
  </w:style>
  <w:style w:type="character" w:customStyle="1" w:styleId="Titre2Car">
    <w:name w:val="Titre 2 Car"/>
    <w:basedOn w:val="Policepardfaut"/>
    <w:link w:val="Titre2"/>
    <w:uiPriority w:val="9"/>
    <w:semiHidden/>
    <w:rsid w:val="00B97E20"/>
    <w:rPr>
      <w:rFonts w:asciiTheme="majorHAnsi" w:eastAsiaTheme="majorEastAsia" w:hAnsiTheme="majorHAnsi" w:cstheme="majorBidi"/>
      <w:b/>
      <w:bCs/>
      <w:color w:val="4F81BD" w:themeColor="accent1"/>
      <w:sz w:val="26"/>
      <w:szCs w:val="26"/>
    </w:rPr>
  </w:style>
  <w:style w:type="paragraph" w:styleId="Bibliographie">
    <w:name w:val="Bibliography"/>
    <w:basedOn w:val="Normal"/>
    <w:next w:val="Normal"/>
    <w:uiPriority w:val="37"/>
    <w:semiHidden/>
    <w:unhideWhenUsed/>
    <w:rsid w:val="00E41EB6"/>
  </w:style>
  <w:style w:type="character" w:styleId="lev">
    <w:name w:val="Strong"/>
    <w:uiPriority w:val="22"/>
    <w:qFormat/>
    <w:rsid w:val="002C4CE6"/>
    <w:rPr>
      <w:b/>
      <w:bCs/>
    </w:rPr>
  </w:style>
  <w:style w:type="paragraph" w:styleId="Titre">
    <w:name w:val="Title"/>
    <w:basedOn w:val="Normal"/>
    <w:link w:val="TitreCar"/>
    <w:qFormat/>
    <w:rsid w:val="00A007BE"/>
    <w:pPr>
      <w:jc w:val="center"/>
    </w:pPr>
    <w:rPr>
      <w:rFonts w:ascii="Times" w:eastAsia="Times" w:hAnsi="Times"/>
      <w:b/>
      <w:sz w:val="28"/>
      <w:szCs w:val="20"/>
      <w:u w:val="single"/>
    </w:rPr>
  </w:style>
  <w:style w:type="character" w:customStyle="1" w:styleId="TitreCar">
    <w:name w:val="Titre Car"/>
    <w:basedOn w:val="Policepardfaut"/>
    <w:link w:val="Titre"/>
    <w:rsid w:val="00A007BE"/>
    <w:rPr>
      <w:rFonts w:ascii="Times" w:eastAsia="Times" w:hAnsi="Times"/>
      <w:b/>
      <w:sz w:val="28"/>
      <w:u w:val="single"/>
    </w:rPr>
  </w:style>
  <w:style w:type="character" w:customStyle="1" w:styleId="docsum-authors">
    <w:name w:val="docsum-authors"/>
    <w:rsid w:val="003D3557"/>
  </w:style>
  <w:style w:type="character" w:customStyle="1" w:styleId="docsum-journal-citation">
    <w:name w:val="docsum-journal-citation"/>
    <w:rsid w:val="003D3557"/>
  </w:style>
  <w:style w:type="paragraph" w:styleId="Sansinterligne">
    <w:name w:val="No Spacing"/>
    <w:uiPriority w:val="1"/>
    <w:qFormat/>
    <w:rsid w:val="005F7B66"/>
    <w:rPr>
      <w:rFonts w:asciiTheme="minorHAnsi" w:eastAsiaTheme="minorHAnsi" w:hAnsiTheme="minorHAnsi" w:cstheme="minorBidi"/>
      <w:sz w:val="24"/>
      <w:szCs w:val="24"/>
      <w:lang w:eastAsia="en-US"/>
    </w:rPr>
  </w:style>
  <w:style w:type="character" w:customStyle="1" w:styleId="rpc41">
    <w:name w:val="_rpc_41"/>
    <w:basedOn w:val="Policepardfaut"/>
    <w:rsid w:val="00E9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7">
      <w:bodyDiv w:val="1"/>
      <w:marLeft w:val="0"/>
      <w:marRight w:val="0"/>
      <w:marTop w:val="0"/>
      <w:marBottom w:val="0"/>
      <w:divBdr>
        <w:top w:val="none" w:sz="0" w:space="0" w:color="auto"/>
        <w:left w:val="none" w:sz="0" w:space="0" w:color="auto"/>
        <w:bottom w:val="none" w:sz="0" w:space="0" w:color="auto"/>
        <w:right w:val="none" w:sz="0" w:space="0" w:color="auto"/>
      </w:divBdr>
    </w:div>
    <w:div w:id="43991289">
      <w:bodyDiv w:val="1"/>
      <w:marLeft w:val="0"/>
      <w:marRight w:val="0"/>
      <w:marTop w:val="0"/>
      <w:marBottom w:val="0"/>
      <w:divBdr>
        <w:top w:val="none" w:sz="0" w:space="0" w:color="auto"/>
        <w:left w:val="none" w:sz="0" w:space="0" w:color="auto"/>
        <w:bottom w:val="none" w:sz="0" w:space="0" w:color="auto"/>
        <w:right w:val="none" w:sz="0" w:space="0" w:color="auto"/>
      </w:divBdr>
    </w:div>
    <w:div w:id="87653117">
      <w:bodyDiv w:val="1"/>
      <w:marLeft w:val="0"/>
      <w:marRight w:val="0"/>
      <w:marTop w:val="0"/>
      <w:marBottom w:val="0"/>
      <w:divBdr>
        <w:top w:val="none" w:sz="0" w:space="0" w:color="auto"/>
        <w:left w:val="none" w:sz="0" w:space="0" w:color="auto"/>
        <w:bottom w:val="none" w:sz="0" w:space="0" w:color="auto"/>
        <w:right w:val="none" w:sz="0" w:space="0" w:color="auto"/>
      </w:divBdr>
    </w:div>
    <w:div w:id="89276317">
      <w:bodyDiv w:val="1"/>
      <w:marLeft w:val="0"/>
      <w:marRight w:val="0"/>
      <w:marTop w:val="0"/>
      <w:marBottom w:val="0"/>
      <w:divBdr>
        <w:top w:val="none" w:sz="0" w:space="0" w:color="auto"/>
        <w:left w:val="none" w:sz="0" w:space="0" w:color="auto"/>
        <w:bottom w:val="none" w:sz="0" w:space="0" w:color="auto"/>
        <w:right w:val="none" w:sz="0" w:space="0" w:color="auto"/>
      </w:divBdr>
    </w:div>
    <w:div w:id="153185680">
      <w:bodyDiv w:val="1"/>
      <w:marLeft w:val="0"/>
      <w:marRight w:val="0"/>
      <w:marTop w:val="0"/>
      <w:marBottom w:val="0"/>
      <w:divBdr>
        <w:top w:val="none" w:sz="0" w:space="0" w:color="auto"/>
        <w:left w:val="none" w:sz="0" w:space="0" w:color="auto"/>
        <w:bottom w:val="none" w:sz="0" w:space="0" w:color="auto"/>
        <w:right w:val="none" w:sz="0" w:space="0" w:color="auto"/>
      </w:divBdr>
    </w:div>
    <w:div w:id="254872668">
      <w:bodyDiv w:val="1"/>
      <w:marLeft w:val="0"/>
      <w:marRight w:val="0"/>
      <w:marTop w:val="0"/>
      <w:marBottom w:val="0"/>
      <w:divBdr>
        <w:top w:val="none" w:sz="0" w:space="0" w:color="auto"/>
        <w:left w:val="none" w:sz="0" w:space="0" w:color="auto"/>
        <w:bottom w:val="none" w:sz="0" w:space="0" w:color="auto"/>
        <w:right w:val="none" w:sz="0" w:space="0" w:color="auto"/>
      </w:divBdr>
    </w:div>
    <w:div w:id="330718744">
      <w:bodyDiv w:val="1"/>
      <w:marLeft w:val="0"/>
      <w:marRight w:val="0"/>
      <w:marTop w:val="0"/>
      <w:marBottom w:val="0"/>
      <w:divBdr>
        <w:top w:val="none" w:sz="0" w:space="0" w:color="auto"/>
        <w:left w:val="none" w:sz="0" w:space="0" w:color="auto"/>
        <w:bottom w:val="none" w:sz="0" w:space="0" w:color="auto"/>
        <w:right w:val="none" w:sz="0" w:space="0" w:color="auto"/>
      </w:divBdr>
    </w:div>
    <w:div w:id="457575615">
      <w:bodyDiv w:val="1"/>
      <w:marLeft w:val="0"/>
      <w:marRight w:val="0"/>
      <w:marTop w:val="0"/>
      <w:marBottom w:val="0"/>
      <w:divBdr>
        <w:top w:val="none" w:sz="0" w:space="0" w:color="auto"/>
        <w:left w:val="none" w:sz="0" w:space="0" w:color="auto"/>
        <w:bottom w:val="none" w:sz="0" w:space="0" w:color="auto"/>
        <w:right w:val="none" w:sz="0" w:space="0" w:color="auto"/>
      </w:divBdr>
    </w:div>
    <w:div w:id="5217474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217">
          <w:marLeft w:val="547"/>
          <w:marRight w:val="0"/>
          <w:marTop w:val="200"/>
          <w:marBottom w:val="0"/>
          <w:divBdr>
            <w:top w:val="none" w:sz="0" w:space="0" w:color="auto"/>
            <w:left w:val="none" w:sz="0" w:space="0" w:color="auto"/>
            <w:bottom w:val="none" w:sz="0" w:space="0" w:color="auto"/>
            <w:right w:val="none" w:sz="0" w:space="0" w:color="auto"/>
          </w:divBdr>
        </w:div>
        <w:div w:id="91974531">
          <w:marLeft w:val="547"/>
          <w:marRight w:val="0"/>
          <w:marTop w:val="200"/>
          <w:marBottom w:val="0"/>
          <w:divBdr>
            <w:top w:val="none" w:sz="0" w:space="0" w:color="auto"/>
            <w:left w:val="none" w:sz="0" w:space="0" w:color="auto"/>
            <w:bottom w:val="none" w:sz="0" w:space="0" w:color="auto"/>
            <w:right w:val="none" w:sz="0" w:space="0" w:color="auto"/>
          </w:divBdr>
        </w:div>
      </w:divsChild>
    </w:div>
    <w:div w:id="588852898">
      <w:bodyDiv w:val="1"/>
      <w:marLeft w:val="0"/>
      <w:marRight w:val="0"/>
      <w:marTop w:val="0"/>
      <w:marBottom w:val="0"/>
      <w:divBdr>
        <w:top w:val="none" w:sz="0" w:space="0" w:color="auto"/>
        <w:left w:val="none" w:sz="0" w:space="0" w:color="auto"/>
        <w:bottom w:val="none" w:sz="0" w:space="0" w:color="auto"/>
        <w:right w:val="none" w:sz="0" w:space="0" w:color="auto"/>
      </w:divBdr>
    </w:div>
    <w:div w:id="623540848">
      <w:bodyDiv w:val="1"/>
      <w:marLeft w:val="0"/>
      <w:marRight w:val="0"/>
      <w:marTop w:val="0"/>
      <w:marBottom w:val="0"/>
      <w:divBdr>
        <w:top w:val="none" w:sz="0" w:space="0" w:color="auto"/>
        <w:left w:val="none" w:sz="0" w:space="0" w:color="auto"/>
        <w:bottom w:val="none" w:sz="0" w:space="0" w:color="auto"/>
        <w:right w:val="none" w:sz="0" w:space="0" w:color="auto"/>
      </w:divBdr>
    </w:div>
    <w:div w:id="642122665">
      <w:bodyDiv w:val="1"/>
      <w:marLeft w:val="0"/>
      <w:marRight w:val="0"/>
      <w:marTop w:val="0"/>
      <w:marBottom w:val="0"/>
      <w:divBdr>
        <w:top w:val="none" w:sz="0" w:space="0" w:color="auto"/>
        <w:left w:val="none" w:sz="0" w:space="0" w:color="auto"/>
        <w:bottom w:val="none" w:sz="0" w:space="0" w:color="auto"/>
        <w:right w:val="none" w:sz="0" w:space="0" w:color="auto"/>
      </w:divBdr>
    </w:div>
    <w:div w:id="718357084">
      <w:bodyDiv w:val="1"/>
      <w:marLeft w:val="0"/>
      <w:marRight w:val="0"/>
      <w:marTop w:val="0"/>
      <w:marBottom w:val="0"/>
      <w:divBdr>
        <w:top w:val="none" w:sz="0" w:space="0" w:color="auto"/>
        <w:left w:val="none" w:sz="0" w:space="0" w:color="auto"/>
        <w:bottom w:val="none" w:sz="0" w:space="0" w:color="auto"/>
        <w:right w:val="none" w:sz="0" w:space="0" w:color="auto"/>
      </w:divBdr>
    </w:div>
    <w:div w:id="732892430">
      <w:bodyDiv w:val="1"/>
      <w:marLeft w:val="0"/>
      <w:marRight w:val="0"/>
      <w:marTop w:val="0"/>
      <w:marBottom w:val="0"/>
      <w:divBdr>
        <w:top w:val="none" w:sz="0" w:space="0" w:color="auto"/>
        <w:left w:val="none" w:sz="0" w:space="0" w:color="auto"/>
        <w:bottom w:val="none" w:sz="0" w:space="0" w:color="auto"/>
        <w:right w:val="none" w:sz="0" w:space="0" w:color="auto"/>
      </w:divBdr>
    </w:div>
    <w:div w:id="757601321">
      <w:bodyDiv w:val="1"/>
      <w:marLeft w:val="0"/>
      <w:marRight w:val="0"/>
      <w:marTop w:val="0"/>
      <w:marBottom w:val="0"/>
      <w:divBdr>
        <w:top w:val="none" w:sz="0" w:space="0" w:color="auto"/>
        <w:left w:val="none" w:sz="0" w:space="0" w:color="auto"/>
        <w:bottom w:val="none" w:sz="0" w:space="0" w:color="auto"/>
        <w:right w:val="none" w:sz="0" w:space="0" w:color="auto"/>
      </w:divBdr>
    </w:div>
    <w:div w:id="790587372">
      <w:bodyDiv w:val="1"/>
      <w:marLeft w:val="0"/>
      <w:marRight w:val="0"/>
      <w:marTop w:val="0"/>
      <w:marBottom w:val="0"/>
      <w:divBdr>
        <w:top w:val="none" w:sz="0" w:space="0" w:color="auto"/>
        <w:left w:val="none" w:sz="0" w:space="0" w:color="auto"/>
        <w:bottom w:val="none" w:sz="0" w:space="0" w:color="auto"/>
        <w:right w:val="none" w:sz="0" w:space="0" w:color="auto"/>
      </w:divBdr>
    </w:div>
    <w:div w:id="827289637">
      <w:bodyDiv w:val="1"/>
      <w:marLeft w:val="0"/>
      <w:marRight w:val="0"/>
      <w:marTop w:val="0"/>
      <w:marBottom w:val="0"/>
      <w:divBdr>
        <w:top w:val="none" w:sz="0" w:space="0" w:color="auto"/>
        <w:left w:val="none" w:sz="0" w:space="0" w:color="auto"/>
        <w:bottom w:val="none" w:sz="0" w:space="0" w:color="auto"/>
        <w:right w:val="none" w:sz="0" w:space="0" w:color="auto"/>
      </w:divBdr>
    </w:div>
    <w:div w:id="833492555">
      <w:bodyDiv w:val="1"/>
      <w:marLeft w:val="0"/>
      <w:marRight w:val="0"/>
      <w:marTop w:val="0"/>
      <w:marBottom w:val="0"/>
      <w:divBdr>
        <w:top w:val="none" w:sz="0" w:space="0" w:color="auto"/>
        <w:left w:val="none" w:sz="0" w:space="0" w:color="auto"/>
        <w:bottom w:val="none" w:sz="0" w:space="0" w:color="auto"/>
        <w:right w:val="none" w:sz="0" w:space="0" w:color="auto"/>
      </w:divBdr>
    </w:div>
    <w:div w:id="869299643">
      <w:bodyDiv w:val="1"/>
      <w:marLeft w:val="0"/>
      <w:marRight w:val="0"/>
      <w:marTop w:val="0"/>
      <w:marBottom w:val="0"/>
      <w:divBdr>
        <w:top w:val="none" w:sz="0" w:space="0" w:color="auto"/>
        <w:left w:val="none" w:sz="0" w:space="0" w:color="auto"/>
        <w:bottom w:val="none" w:sz="0" w:space="0" w:color="auto"/>
        <w:right w:val="none" w:sz="0" w:space="0" w:color="auto"/>
      </w:divBdr>
      <w:divsChild>
        <w:div w:id="530994750">
          <w:marLeft w:val="446"/>
          <w:marRight w:val="0"/>
          <w:marTop w:val="0"/>
          <w:marBottom w:val="0"/>
          <w:divBdr>
            <w:top w:val="none" w:sz="0" w:space="0" w:color="auto"/>
            <w:left w:val="none" w:sz="0" w:space="0" w:color="auto"/>
            <w:bottom w:val="none" w:sz="0" w:space="0" w:color="auto"/>
            <w:right w:val="none" w:sz="0" w:space="0" w:color="auto"/>
          </w:divBdr>
        </w:div>
      </w:divsChild>
    </w:div>
    <w:div w:id="874583567">
      <w:bodyDiv w:val="1"/>
      <w:marLeft w:val="0"/>
      <w:marRight w:val="0"/>
      <w:marTop w:val="0"/>
      <w:marBottom w:val="0"/>
      <w:divBdr>
        <w:top w:val="none" w:sz="0" w:space="0" w:color="auto"/>
        <w:left w:val="none" w:sz="0" w:space="0" w:color="auto"/>
        <w:bottom w:val="none" w:sz="0" w:space="0" w:color="auto"/>
        <w:right w:val="none" w:sz="0" w:space="0" w:color="auto"/>
      </w:divBdr>
    </w:div>
    <w:div w:id="877549695">
      <w:bodyDiv w:val="1"/>
      <w:marLeft w:val="0"/>
      <w:marRight w:val="0"/>
      <w:marTop w:val="0"/>
      <w:marBottom w:val="0"/>
      <w:divBdr>
        <w:top w:val="none" w:sz="0" w:space="0" w:color="auto"/>
        <w:left w:val="none" w:sz="0" w:space="0" w:color="auto"/>
        <w:bottom w:val="none" w:sz="0" w:space="0" w:color="auto"/>
        <w:right w:val="none" w:sz="0" w:space="0" w:color="auto"/>
      </w:divBdr>
    </w:div>
    <w:div w:id="911233819">
      <w:bodyDiv w:val="1"/>
      <w:marLeft w:val="0"/>
      <w:marRight w:val="0"/>
      <w:marTop w:val="0"/>
      <w:marBottom w:val="0"/>
      <w:divBdr>
        <w:top w:val="none" w:sz="0" w:space="0" w:color="auto"/>
        <w:left w:val="none" w:sz="0" w:space="0" w:color="auto"/>
        <w:bottom w:val="none" w:sz="0" w:space="0" w:color="auto"/>
        <w:right w:val="none" w:sz="0" w:space="0" w:color="auto"/>
      </w:divBdr>
    </w:div>
    <w:div w:id="919675176">
      <w:bodyDiv w:val="1"/>
      <w:marLeft w:val="0"/>
      <w:marRight w:val="0"/>
      <w:marTop w:val="0"/>
      <w:marBottom w:val="0"/>
      <w:divBdr>
        <w:top w:val="none" w:sz="0" w:space="0" w:color="auto"/>
        <w:left w:val="none" w:sz="0" w:space="0" w:color="auto"/>
        <w:bottom w:val="none" w:sz="0" w:space="0" w:color="auto"/>
        <w:right w:val="none" w:sz="0" w:space="0" w:color="auto"/>
      </w:divBdr>
    </w:div>
    <w:div w:id="994141257">
      <w:bodyDiv w:val="1"/>
      <w:marLeft w:val="0"/>
      <w:marRight w:val="0"/>
      <w:marTop w:val="0"/>
      <w:marBottom w:val="0"/>
      <w:divBdr>
        <w:top w:val="none" w:sz="0" w:space="0" w:color="auto"/>
        <w:left w:val="none" w:sz="0" w:space="0" w:color="auto"/>
        <w:bottom w:val="none" w:sz="0" w:space="0" w:color="auto"/>
        <w:right w:val="none" w:sz="0" w:space="0" w:color="auto"/>
      </w:divBdr>
    </w:div>
    <w:div w:id="1038161839">
      <w:bodyDiv w:val="1"/>
      <w:marLeft w:val="0"/>
      <w:marRight w:val="0"/>
      <w:marTop w:val="0"/>
      <w:marBottom w:val="0"/>
      <w:divBdr>
        <w:top w:val="none" w:sz="0" w:space="0" w:color="auto"/>
        <w:left w:val="none" w:sz="0" w:space="0" w:color="auto"/>
        <w:bottom w:val="none" w:sz="0" w:space="0" w:color="auto"/>
        <w:right w:val="none" w:sz="0" w:space="0" w:color="auto"/>
      </w:divBdr>
      <w:divsChild>
        <w:div w:id="525676393">
          <w:marLeft w:val="360"/>
          <w:marRight w:val="0"/>
          <w:marTop w:val="200"/>
          <w:marBottom w:val="0"/>
          <w:divBdr>
            <w:top w:val="none" w:sz="0" w:space="0" w:color="auto"/>
            <w:left w:val="none" w:sz="0" w:space="0" w:color="auto"/>
            <w:bottom w:val="none" w:sz="0" w:space="0" w:color="auto"/>
            <w:right w:val="none" w:sz="0" w:space="0" w:color="auto"/>
          </w:divBdr>
        </w:div>
        <w:div w:id="343944721">
          <w:marLeft w:val="360"/>
          <w:marRight w:val="0"/>
          <w:marTop w:val="200"/>
          <w:marBottom w:val="0"/>
          <w:divBdr>
            <w:top w:val="none" w:sz="0" w:space="0" w:color="auto"/>
            <w:left w:val="none" w:sz="0" w:space="0" w:color="auto"/>
            <w:bottom w:val="none" w:sz="0" w:space="0" w:color="auto"/>
            <w:right w:val="none" w:sz="0" w:space="0" w:color="auto"/>
          </w:divBdr>
        </w:div>
        <w:div w:id="606276230">
          <w:marLeft w:val="1080"/>
          <w:marRight w:val="0"/>
          <w:marTop w:val="100"/>
          <w:marBottom w:val="0"/>
          <w:divBdr>
            <w:top w:val="none" w:sz="0" w:space="0" w:color="auto"/>
            <w:left w:val="none" w:sz="0" w:space="0" w:color="auto"/>
            <w:bottom w:val="none" w:sz="0" w:space="0" w:color="auto"/>
            <w:right w:val="none" w:sz="0" w:space="0" w:color="auto"/>
          </w:divBdr>
        </w:div>
        <w:div w:id="482359755">
          <w:marLeft w:val="1080"/>
          <w:marRight w:val="0"/>
          <w:marTop w:val="100"/>
          <w:marBottom w:val="0"/>
          <w:divBdr>
            <w:top w:val="none" w:sz="0" w:space="0" w:color="auto"/>
            <w:left w:val="none" w:sz="0" w:space="0" w:color="auto"/>
            <w:bottom w:val="none" w:sz="0" w:space="0" w:color="auto"/>
            <w:right w:val="none" w:sz="0" w:space="0" w:color="auto"/>
          </w:divBdr>
        </w:div>
        <w:div w:id="259335425">
          <w:marLeft w:val="360"/>
          <w:marRight w:val="0"/>
          <w:marTop w:val="200"/>
          <w:marBottom w:val="0"/>
          <w:divBdr>
            <w:top w:val="none" w:sz="0" w:space="0" w:color="auto"/>
            <w:left w:val="none" w:sz="0" w:space="0" w:color="auto"/>
            <w:bottom w:val="none" w:sz="0" w:space="0" w:color="auto"/>
            <w:right w:val="none" w:sz="0" w:space="0" w:color="auto"/>
          </w:divBdr>
        </w:div>
        <w:div w:id="617027977">
          <w:marLeft w:val="1080"/>
          <w:marRight w:val="0"/>
          <w:marTop w:val="100"/>
          <w:marBottom w:val="0"/>
          <w:divBdr>
            <w:top w:val="none" w:sz="0" w:space="0" w:color="auto"/>
            <w:left w:val="none" w:sz="0" w:space="0" w:color="auto"/>
            <w:bottom w:val="none" w:sz="0" w:space="0" w:color="auto"/>
            <w:right w:val="none" w:sz="0" w:space="0" w:color="auto"/>
          </w:divBdr>
        </w:div>
        <w:div w:id="1085998356">
          <w:marLeft w:val="1080"/>
          <w:marRight w:val="0"/>
          <w:marTop w:val="100"/>
          <w:marBottom w:val="0"/>
          <w:divBdr>
            <w:top w:val="none" w:sz="0" w:space="0" w:color="auto"/>
            <w:left w:val="none" w:sz="0" w:space="0" w:color="auto"/>
            <w:bottom w:val="none" w:sz="0" w:space="0" w:color="auto"/>
            <w:right w:val="none" w:sz="0" w:space="0" w:color="auto"/>
          </w:divBdr>
        </w:div>
        <w:div w:id="1154298268">
          <w:marLeft w:val="1080"/>
          <w:marRight w:val="0"/>
          <w:marTop w:val="100"/>
          <w:marBottom w:val="0"/>
          <w:divBdr>
            <w:top w:val="none" w:sz="0" w:space="0" w:color="auto"/>
            <w:left w:val="none" w:sz="0" w:space="0" w:color="auto"/>
            <w:bottom w:val="none" w:sz="0" w:space="0" w:color="auto"/>
            <w:right w:val="none" w:sz="0" w:space="0" w:color="auto"/>
          </w:divBdr>
        </w:div>
      </w:divsChild>
    </w:div>
    <w:div w:id="1102333483">
      <w:bodyDiv w:val="1"/>
      <w:marLeft w:val="0"/>
      <w:marRight w:val="0"/>
      <w:marTop w:val="0"/>
      <w:marBottom w:val="0"/>
      <w:divBdr>
        <w:top w:val="none" w:sz="0" w:space="0" w:color="auto"/>
        <w:left w:val="none" w:sz="0" w:space="0" w:color="auto"/>
        <w:bottom w:val="none" w:sz="0" w:space="0" w:color="auto"/>
        <w:right w:val="none" w:sz="0" w:space="0" w:color="auto"/>
      </w:divBdr>
    </w:div>
    <w:div w:id="1131247762">
      <w:bodyDiv w:val="1"/>
      <w:marLeft w:val="0"/>
      <w:marRight w:val="0"/>
      <w:marTop w:val="0"/>
      <w:marBottom w:val="0"/>
      <w:divBdr>
        <w:top w:val="none" w:sz="0" w:space="0" w:color="auto"/>
        <w:left w:val="none" w:sz="0" w:space="0" w:color="auto"/>
        <w:bottom w:val="none" w:sz="0" w:space="0" w:color="auto"/>
        <w:right w:val="none" w:sz="0" w:space="0" w:color="auto"/>
      </w:divBdr>
    </w:div>
    <w:div w:id="1131938975">
      <w:bodyDiv w:val="1"/>
      <w:marLeft w:val="0"/>
      <w:marRight w:val="0"/>
      <w:marTop w:val="0"/>
      <w:marBottom w:val="0"/>
      <w:divBdr>
        <w:top w:val="none" w:sz="0" w:space="0" w:color="auto"/>
        <w:left w:val="none" w:sz="0" w:space="0" w:color="auto"/>
        <w:bottom w:val="none" w:sz="0" w:space="0" w:color="auto"/>
        <w:right w:val="none" w:sz="0" w:space="0" w:color="auto"/>
      </w:divBdr>
    </w:div>
    <w:div w:id="1158036075">
      <w:bodyDiv w:val="1"/>
      <w:marLeft w:val="0"/>
      <w:marRight w:val="0"/>
      <w:marTop w:val="0"/>
      <w:marBottom w:val="0"/>
      <w:divBdr>
        <w:top w:val="none" w:sz="0" w:space="0" w:color="auto"/>
        <w:left w:val="none" w:sz="0" w:space="0" w:color="auto"/>
        <w:bottom w:val="none" w:sz="0" w:space="0" w:color="auto"/>
        <w:right w:val="none" w:sz="0" w:space="0" w:color="auto"/>
      </w:divBdr>
    </w:div>
    <w:div w:id="1206138355">
      <w:bodyDiv w:val="1"/>
      <w:marLeft w:val="0"/>
      <w:marRight w:val="0"/>
      <w:marTop w:val="0"/>
      <w:marBottom w:val="0"/>
      <w:divBdr>
        <w:top w:val="none" w:sz="0" w:space="0" w:color="auto"/>
        <w:left w:val="none" w:sz="0" w:space="0" w:color="auto"/>
        <w:bottom w:val="none" w:sz="0" w:space="0" w:color="auto"/>
        <w:right w:val="none" w:sz="0" w:space="0" w:color="auto"/>
      </w:divBdr>
    </w:div>
    <w:div w:id="1210337314">
      <w:bodyDiv w:val="1"/>
      <w:marLeft w:val="0"/>
      <w:marRight w:val="0"/>
      <w:marTop w:val="0"/>
      <w:marBottom w:val="0"/>
      <w:divBdr>
        <w:top w:val="none" w:sz="0" w:space="0" w:color="auto"/>
        <w:left w:val="none" w:sz="0" w:space="0" w:color="auto"/>
        <w:bottom w:val="none" w:sz="0" w:space="0" w:color="auto"/>
        <w:right w:val="none" w:sz="0" w:space="0" w:color="auto"/>
      </w:divBdr>
    </w:div>
    <w:div w:id="1286472924">
      <w:bodyDiv w:val="1"/>
      <w:marLeft w:val="0"/>
      <w:marRight w:val="0"/>
      <w:marTop w:val="0"/>
      <w:marBottom w:val="0"/>
      <w:divBdr>
        <w:top w:val="none" w:sz="0" w:space="0" w:color="auto"/>
        <w:left w:val="none" w:sz="0" w:space="0" w:color="auto"/>
        <w:bottom w:val="none" w:sz="0" w:space="0" w:color="auto"/>
        <w:right w:val="none" w:sz="0" w:space="0" w:color="auto"/>
      </w:divBdr>
    </w:div>
    <w:div w:id="1358122424">
      <w:bodyDiv w:val="1"/>
      <w:marLeft w:val="0"/>
      <w:marRight w:val="0"/>
      <w:marTop w:val="0"/>
      <w:marBottom w:val="0"/>
      <w:divBdr>
        <w:top w:val="none" w:sz="0" w:space="0" w:color="auto"/>
        <w:left w:val="none" w:sz="0" w:space="0" w:color="auto"/>
        <w:bottom w:val="none" w:sz="0" w:space="0" w:color="auto"/>
        <w:right w:val="none" w:sz="0" w:space="0" w:color="auto"/>
      </w:divBdr>
    </w:div>
    <w:div w:id="1411079427">
      <w:bodyDiv w:val="1"/>
      <w:marLeft w:val="0"/>
      <w:marRight w:val="0"/>
      <w:marTop w:val="0"/>
      <w:marBottom w:val="0"/>
      <w:divBdr>
        <w:top w:val="none" w:sz="0" w:space="0" w:color="auto"/>
        <w:left w:val="none" w:sz="0" w:space="0" w:color="auto"/>
        <w:bottom w:val="none" w:sz="0" w:space="0" w:color="auto"/>
        <w:right w:val="none" w:sz="0" w:space="0" w:color="auto"/>
      </w:divBdr>
      <w:divsChild>
        <w:div w:id="299922966">
          <w:marLeft w:val="0"/>
          <w:marRight w:val="0"/>
          <w:marTop w:val="0"/>
          <w:marBottom w:val="0"/>
          <w:divBdr>
            <w:top w:val="single" w:sz="6" w:space="0" w:color="auto"/>
            <w:left w:val="single" w:sz="6" w:space="0" w:color="auto"/>
            <w:bottom w:val="single" w:sz="6" w:space="0" w:color="auto"/>
            <w:right w:val="single" w:sz="6" w:space="0" w:color="auto"/>
          </w:divBdr>
          <w:divsChild>
            <w:div w:id="1341857498">
              <w:marLeft w:val="0"/>
              <w:marRight w:val="0"/>
              <w:marTop w:val="0"/>
              <w:marBottom w:val="0"/>
              <w:divBdr>
                <w:top w:val="none" w:sz="0" w:space="0" w:color="auto"/>
                <w:left w:val="none" w:sz="0" w:space="0" w:color="auto"/>
                <w:bottom w:val="none" w:sz="0" w:space="0" w:color="auto"/>
                <w:right w:val="none" w:sz="0" w:space="0" w:color="auto"/>
              </w:divBdr>
              <w:divsChild>
                <w:div w:id="450050297">
                  <w:marLeft w:val="0"/>
                  <w:marRight w:val="0"/>
                  <w:marTop w:val="0"/>
                  <w:marBottom w:val="0"/>
                  <w:divBdr>
                    <w:top w:val="none" w:sz="0" w:space="0" w:color="auto"/>
                    <w:left w:val="none" w:sz="0" w:space="0" w:color="auto"/>
                    <w:bottom w:val="none" w:sz="0" w:space="0" w:color="auto"/>
                    <w:right w:val="none" w:sz="0" w:space="0" w:color="auto"/>
                  </w:divBdr>
                  <w:divsChild>
                    <w:div w:id="49885245">
                      <w:marLeft w:val="0"/>
                      <w:marRight w:val="0"/>
                      <w:marTop w:val="0"/>
                      <w:marBottom w:val="0"/>
                      <w:divBdr>
                        <w:top w:val="none" w:sz="0" w:space="0" w:color="auto"/>
                        <w:left w:val="none" w:sz="0" w:space="0" w:color="auto"/>
                        <w:bottom w:val="none" w:sz="0" w:space="0" w:color="auto"/>
                        <w:right w:val="none" w:sz="0" w:space="0" w:color="auto"/>
                      </w:divBdr>
                      <w:divsChild>
                        <w:div w:id="457795982">
                          <w:marLeft w:val="0"/>
                          <w:marRight w:val="0"/>
                          <w:marTop w:val="0"/>
                          <w:marBottom w:val="0"/>
                          <w:divBdr>
                            <w:top w:val="none" w:sz="0" w:space="0" w:color="auto"/>
                            <w:left w:val="none" w:sz="0" w:space="0" w:color="auto"/>
                            <w:bottom w:val="none" w:sz="0" w:space="0" w:color="auto"/>
                            <w:right w:val="none" w:sz="0" w:space="0" w:color="auto"/>
                          </w:divBdr>
                          <w:divsChild>
                            <w:div w:id="816848345">
                              <w:marLeft w:val="0"/>
                              <w:marRight w:val="0"/>
                              <w:marTop w:val="0"/>
                              <w:marBottom w:val="0"/>
                              <w:divBdr>
                                <w:top w:val="none" w:sz="0" w:space="0" w:color="auto"/>
                                <w:left w:val="none" w:sz="0" w:space="0" w:color="auto"/>
                                <w:bottom w:val="none" w:sz="0" w:space="0" w:color="auto"/>
                                <w:right w:val="none" w:sz="0" w:space="0" w:color="auto"/>
                              </w:divBdr>
                              <w:divsChild>
                                <w:div w:id="1122113779">
                                  <w:marLeft w:val="0"/>
                                  <w:marRight w:val="0"/>
                                  <w:marTop w:val="0"/>
                                  <w:marBottom w:val="0"/>
                                  <w:divBdr>
                                    <w:top w:val="none" w:sz="0" w:space="0" w:color="auto"/>
                                    <w:left w:val="none" w:sz="0" w:space="0" w:color="auto"/>
                                    <w:bottom w:val="none" w:sz="0" w:space="0" w:color="auto"/>
                                    <w:right w:val="none" w:sz="0" w:space="0" w:color="auto"/>
                                  </w:divBdr>
                                  <w:divsChild>
                                    <w:div w:id="1815951115">
                                      <w:marLeft w:val="0"/>
                                      <w:marRight w:val="0"/>
                                      <w:marTop w:val="0"/>
                                      <w:marBottom w:val="0"/>
                                      <w:divBdr>
                                        <w:top w:val="none" w:sz="0" w:space="0" w:color="auto"/>
                                        <w:left w:val="none" w:sz="0" w:space="0" w:color="auto"/>
                                        <w:bottom w:val="none" w:sz="0" w:space="0" w:color="auto"/>
                                        <w:right w:val="none" w:sz="0" w:space="0" w:color="auto"/>
                                      </w:divBdr>
                                      <w:divsChild>
                                        <w:div w:id="570584798">
                                          <w:marLeft w:val="0"/>
                                          <w:marRight w:val="0"/>
                                          <w:marTop w:val="0"/>
                                          <w:marBottom w:val="0"/>
                                          <w:divBdr>
                                            <w:top w:val="none" w:sz="0" w:space="0" w:color="auto"/>
                                            <w:left w:val="none" w:sz="0" w:space="0" w:color="auto"/>
                                            <w:bottom w:val="none" w:sz="0" w:space="0" w:color="auto"/>
                                            <w:right w:val="none" w:sz="0" w:space="0" w:color="auto"/>
                                          </w:divBdr>
                                          <w:divsChild>
                                            <w:div w:id="1819152953">
                                              <w:marLeft w:val="0"/>
                                              <w:marRight w:val="0"/>
                                              <w:marTop w:val="0"/>
                                              <w:marBottom w:val="0"/>
                                              <w:divBdr>
                                                <w:top w:val="none" w:sz="0" w:space="0" w:color="auto"/>
                                                <w:left w:val="none" w:sz="0" w:space="0" w:color="auto"/>
                                                <w:bottom w:val="none" w:sz="0" w:space="0" w:color="auto"/>
                                                <w:right w:val="none" w:sz="0" w:space="0" w:color="auto"/>
                                              </w:divBdr>
                                              <w:divsChild>
                                                <w:div w:id="482089929">
                                                  <w:marLeft w:val="0"/>
                                                  <w:marRight w:val="0"/>
                                                  <w:marTop w:val="0"/>
                                                  <w:marBottom w:val="0"/>
                                                  <w:divBdr>
                                                    <w:top w:val="none" w:sz="0" w:space="0" w:color="auto"/>
                                                    <w:left w:val="none" w:sz="0" w:space="0" w:color="auto"/>
                                                    <w:bottom w:val="none" w:sz="0" w:space="0" w:color="auto"/>
                                                    <w:right w:val="none" w:sz="0" w:space="0" w:color="auto"/>
                                                  </w:divBdr>
                                                  <w:divsChild>
                                                    <w:div w:id="1020552089">
                                                      <w:marLeft w:val="0"/>
                                                      <w:marRight w:val="0"/>
                                                      <w:marTop w:val="0"/>
                                                      <w:marBottom w:val="0"/>
                                                      <w:divBdr>
                                                        <w:top w:val="none" w:sz="0" w:space="0" w:color="auto"/>
                                                        <w:left w:val="none" w:sz="0" w:space="0" w:color="auto"/>
                                                        <w:bottom w:val="none" w:sz="0" w:space="0" w:color="auto"/>
                                                        <w:right w:val="none" w:sz="0" w:space="0" w:color="auto"/>
                                                      </w:divBdr>
                                                      <w:divsChild>
                                                        <w:div w:id="170609431">
                                                          <w:marLeft w:val="0"/>
                                                          <w:marRight w:val="0"/>
                                                          <w:marTop w:val="0"/>
                                                          <w:marBottom w:val="0"/>
                                                          <w:divBdr>
                                                            <w:top w:val="none" w:sz="0" w:space="0" w:color="auto"/>
                                                            <w:left w:val="none" w:sz="0" w:space="0" w:color="auto"/>
                                                            <w:bottom w:val="none" w:sz="0" w:space="0" w:color="auto"/>
                                                            <w:right w:val="none" w:sz="0" w:space="0" w:color="auto"/>
                                                          </w:divBdr>
                                                          <w:divsChild>
                                                            <w:div w:id="2052026589">
                                                              <w:marLeft w:val="0"/>
                                                              <w:marRight w:val="0"/>
                                                              <w:marTop w:val="0"/>
                                                              <w:marBottom w:val="435"/>
                                                              <w:divBdr>
                                                                <w:top w:val="none" w:sz="0" w:space="0" w:color="auto"/>
                                                                <w:left w:val="none" w:sz="0" w:space="0" w:color="auto"/>
                                                                <w:bottom w:val="none" w:sz="0" w:space="0" w:color="auto"/>
                                                                <w:right w:val="none" w:sz="0" w:space="0" w:color="auto"/>
                                                              </w:divBdr>
                                                              <w:divsChild>
                                                                <w:div w:id="271595917">
                                                                  <w:marLeft w:val="0"/>
                                                                  <w:marRight w:val="0"/>
                                                                  <w:marTop w:val="0"/>
                                                                  <w:marBottom w:val="0"/>
                                                                  <w:divBdr>
                                                                    <w:top w:val="none" w:sz="0" w:space="0" w:color="auto"/>
                                                                    <w:left w:val="none" w:sz="0" w:space="0" w:color="auto"/>
                                                                    <w:bottom w:val="none" w:sz="0" w:space="0" w:color="auto"/>
                                                                    <w:right w:val="none" w:sz="0" w:space="0" w:color="auto"/>
                                                                  </w:divBdr>
                                                                  <w:divsChild>
                                                                    <w:div w:id="1019623108">
                                                                      <w:marLeft w:val="0"/>
                                                                      <w:marRight w:val="0"/>
                                                                      <w:marTop w:val="0"/>
                                                                      <w:marBottom w:val="0"/>
                                                                      <w:divBdr>
                                                                        <w:top w:val="none" w:sz="0" w:space="0" w:color="auto"/>
                                                                        <w:left w:val="none" w:sz="0" w:space="0" w:color="auto"/>
                                                                        <w:bottom w:val="none" w:sz="0" w:space="0" w:color="auto"/>
                                                                        <w:right w:val="none" w:sz="0" w:space="0" w:color="auto"/>
                                                                      </w:divBdr>
                                                                      <w:divsChild>
                                                                        <w:div w:id="298726255">
                                                                          <w:marLeft w:val="0"/>
                                                                          <w:marRight w:val="0"/>
                                                                          <w:marTop w:val="0"/>
                                                                          <w:marBottom w:val="0"/>
                                                                          <w:divBdr>
                                                                            <w:top w:val="none" w:sz="0" w:space="0" w:color="auto"/>
                                                                            <w:left w:val="none" w:sz="0" w:space="0" w:color="auto"/>
                                                                            <w:bottom w:val="none" w:sz="0" w:space="0" w:color="auto"/>
                                                                            <w:right w:val="none" w:sz="0" w:space="0" w:color="auto"/>
                                                                          </w:divBdr>
                                                                          <w:divsChild>
                                                                            <w:div w:id="307517690">
                                                                              <w:marLeft w:val="0"/>
                                                                              <w:marRight w:val="0"/>
                                                                              <w:marTop w:val="0"/>
                                                                              <w:marBottom w:val="0"/>
                                                                              <w:divBdr>
                                                                                <w:top w:val="none" w:sz="0" w:space="0" w:color="auto"/>
                                                                                <w:left w:val="none" w:sz="0" w:space="0" w:color="auto"/>
                                                                                <w:bottom w:val="none" w:sz="0" w:space="0" w:color="auto"/>
                                                                                <w:right w:val="none" w:sz="0" w:space="0" w:color="auto"/>
                                                                              </w:divBdr>
                                                                              <w:divsChild>
                                                                                <w:div w:id="9783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405626">
      <w:bodyDiv w:val="1"/>
      <w:marLeft w:val="0"/>
      <w:marRight w:val="0"/>
      <w:marTop w:val="0"/>
      <w:marBottom w:val="0"/>
      <w:divBdr>
        <w:top w:val="none" w:sz="0" w:space="0" w:color="auto"/>
        <w:left w:val="none" w:sz="0" w:space="0" w:color="auto"/>
        <w:bottom w:val="none" w:sz="0" w:space="0" w:color="auto"/>
        <w:right w:val="none" w:sz="0" w:space="0" w:color="auto"/>
      </w:divBdr>
    </w:div>
    <w:div w:id="1433430776">
      <w:bodyDiv w:val="1"/>
      <w:marLeft w:val="0"/>
      <w:marRight w:val="0"/>
      <w:marTop w:val="0"/>
      <w:marBottom w:val="0"/>
      <w:divBdr>
        <w:top w:val="none" w:sz="0" w:space="0" w:color="auto"/>
        <w:left w:val="none" w:sz="0" w:space="0" w:color="auto"/>
        <w:bottom w:val="none" w:sz="0" w:space="0" w:color="auto"/>
        <w:right w:val="none" w:sz="0" w:space="0" w:color="auto"/>
      </w:divBdr>
    </w:div>
    <w:div w:id="1502965819">
      <w:bodyDiv w:val="1"/>
      <w:marLeft w:val="0"/>
      <w:marRight w:val="0"/>
      <w:marTop w:val="0"/>
      <w:marBottom w:val="0"/>
      <w:divBdr>
        <w:top w:val="none" w:sz="0" w:space="0" w:color="auto"/>
        <w:left w:val="none" w:sz="0" w:space="0" w:color="auto"/>
        <w:bottom w:val="none" w:sz="0" w:space="0" w:color="auto"/>
        <w:right w:val="none" w:sz="0" w:space="0" w:color="auto"/>
      </w:divBdr>
    </w:div>
    <w:div w:id="1654063977">
      <w:bodyDiv w:val="1"/>
      <w:marLeft w:val="0"/>
      <w:marRight w:val="0"/>
      <w:marTop w:val="0"/>
      <w:marBottom w:val="0"/>
      <w:divBdr>
        <w:top w:val="none" w:sz="0" w:space="0" w:color="auto"/>
        <w:left w:val="none" w:sz="0" w:space="0" w:color="auto"/>
        <w:bottom w:val="none" w:sz="0" w:space="0" w:color="auto"/>
        <w:right w:val="none" w:sz="0" w:space="0" w:color="auto"/>
      </w:divBdr>
    </w:div>
    <w:div w:id="1720520417">
      <w:bodyDiv w:val="1"/>
      <w:marLeft w:val="0"/>
      <w:marRight w:val="0"/>
      <w:marTop w:val="0"/>
      <w:marBottom w:val="0"/>
      <w:divBdr>
        <w:top w:val="none" w:sz="0" w:space="0" w:color="auto"/>
        <w:left w:val="none" w:sz="0" w:space="0" w:color="auto"/>
        <w:bottom w:val="none" w:sz="0" w:space="0" w:color="auto"/>
        <w:right w:val="none" w:sz="0" w:space="0" w:color="auto"/>
      </w:divBdr>
      <w:divsChild>
        <w:div w:id="907617055">
          <w:marLeft w:val="0"/>
          <w:marRight w:val="0"/>
          <w:marTop w:val="0"/>
          <w:marBottom w:val="0"/>
          <w:divBdr>
            <w:top w:val="none" w:sz="0" w:space="0" w:color="auto"/>
            <w:left w:val="none" w:sz="0" w:space="0" w:color="auto"/>
            <w:bottom w:val="none" w:sz="0" w:space="0" w:color="auto"/>
            <w:right w:val="none" w:sz="0" w:space="0" w:color="auto"/>
          </w:divBdr>
          <w:divsChild>
            <w:div w:id="966619102">
              <w:marLeft w:val="0"/>
              <w:marRight w:val="0"/>
              <w:marTop w:val="0"/>
              <w:marBottom w:val="0"/>
              <w:divBdr>
                <w:top w:val="none" w:sz="0" w:space="0" w:color="auto"/>
                <w:left w:val="none" w:sz="0" w:space="0" w:color="auto"/>
                <w:bottom w:val="none" w:sz="0" w:space="0" w:color="auto"/>
                <w:right w:val="none" w:sz="0" w:space="0" w:color="auto"/>
              </w:divBdr>
              <w:divsChild>
                <w:div w:id="1801149504">
                  <w:marLeft w:val="0"/>
                  <w:marRight w:val="0"/>
                  <w:marTop w:val="0"/>
                  <w:marBottom w:val="0"/>
                  <w:divBdr>
                    <w:top w:val="none" w:sz="0" w:space="0" w:color="auto"/>
                    <w:left w:val="none" w:sz="0" w:space="0" w:color="auto"/>
                    <w:bottom w:val="none" w:sz="0" w:space="0" w:color="auto"/>
                    <w:right w:val="none" w:sz="0" w:space="0" w:color="auto"/>
                  </w:divBdr>
                  <w:divsChild>
                    <w:div w:id="1894543367">
                      <w:marLeft w:val="0"/>
                      <w:marRight w:val="0"/>
                      <w:marTop w:val="0"/>
                      <w:marBottom w:val="0"/>
                      <w:divBdr>
                        <w:top w:val="none" w:sz="0" w:space="0" w:color="auto"/>
                        <w:left w:val="none" w:sz="0" w:space="0" w:color="auto"/>
                        <w:bottom w:val="none" w:sz="0" w:space="0" w:color="auto"/>
                        <w:right w:val="none" w:sz="0" w:space="0" w:color="auto"/>
                      </w:divBdr>
                      <w:divsChild>
                        <w:div w:id="356657011">
                          <w:marLeft w:val="0"/>
                          <w:marRight w:val="0"/>
                          <w:marTop w:val="0"/>
                          <w:marBottom w:val="0"/>
                          <w:divBdr>
                            <w:top w:val="none" w:sz="0" w:space="0" w:color="auto"/>
                            <w:left w:val="none" w:sz="0" w:space="0" w:color="auto"/>
                            <w:bottom w:val="none" w:sz="0" w:space="0" w:color="auto"/>
                            <w:right w:val="none" w:sz="0" w:space="0" w:color="auto"/>
                          </w:divBdr>
                          <w:divsChild>
                            <w:div w:id="1206524567">
                              <w:marLeft w:val="0"/>
                              <w:marRight w:val="0"/>
                              <w:marTop w:val="0"/>
                              <w:marBottom w:val="0"/>
                              <w:divBdr>
                                <w:top w:val="none" w:sz="0" w:space="0" w:color="auto"/>
                                <w:left w:val="none" w:sz="0" w:space="0" w:color="auto"/>
                                <w:bottom w:val="none" w:sz="0" w:space="0" w:color="auto"/>
                                <w:right w:val="none" w:sz="0" w:space="0" w:color="auto"/>
                              </w:divBdr>
                              <w:divsChild>
                                <w:div w:id="234361632">
                                  <w:marLeft w:val="0"/>
                                  <w:marRight w:val="0"/>
                                  <w:marTop w:val="0"/>
                                  <w:marBottom w:val="0"/>
                                  <w:divBdr>
                                    <w:top w:val="none" w:sz="0" w:space="0" w:color="auto"/>
                                    <w:left w:val="none" w:sz="0" w:space="0" w:color="auto"/>
                                    <w:bottom w:val="none" w:sz="0" w:space="0" w:color="auto"/>
                                    <w:right w:val="none" w:sz="0" w:space="0" w:color="auto"/>
                                  </w:divBdr>
                                  <w:divsChild>
                                    <w:div w:id="926503785">
                                      <w:marLeft w:val="0"/>
                                      <w:marRight w:val="0"/>
                                      <w:marTop w:val="0"/>
                                      <w:marBottom w:val="0"/>
                                      <w:divBdr>
                                        <w:top w:val="none" w:sz="0" w:space="0" w:color="auto"/>
                                        <w:left w:val="none" w:sz="0" w:space="0" w:color="auto"/>
                                        <w:bottom w:val="none" w:sz="0" w:space="0" w:color="auto"/>
                                        <w:right w:val="none" w:sz="0" w:space="0" w:color="auto"/>
                                      </w:divBdr>
                                      <w:divsChild>
                                        <w:div w:id="218826967">
                                          <w:marLeft w:val="0"/>
                                          <w:marRight w:val="0"/>
                                          <w:marTop w:val="0"/>
                                          <w:marBottom w:val="0"/>
                                          <w:divBdr>
                                            <w:top w:val="none" w:sz="0" w:space="0" w:color="auto"/>
                                            <w:left w:val="none" w:sz="0" w:space="0" w:color="auto"/>
                                            <w:bottom w:val="none" w:sz="0" w:space="0" w:color="auto"/>
                                            <w:right w:val="none" w:sz="0" w:space="0" w:color="auto"/>
                                          </w:divBdr>
                                          <w:divsChild>
                                            <w:div w:id="931938676">
                                              <w:marLeft w:val="0"/>
                                              <w:marRight w:val="0"/>
                                              <w:marTop w:val="0"/>
                                              <w:marBottom w:val="0"/>
                                              <w:divBdr>
                                                <w:top w:val="none" w:sz="0" w:space="0" w:color="auto"/>
                                                <w:left w:val="none" w:sz="0" w:space="0" w:color="auto"/>
                                                <w:bottom w:val="none" w:sz="0" w:space="0" w:color="auto"/>
                                                <w:right w:val="none" w:sz="0" w:space="0" w:color="auto"/>
                                              </w:divBdr>
                                              <w:divsChild>
                                                <w:div w:id="1441678332">
                                                  <w:marLeft w:val="0"/>
                                                  <w:marRight w:val="0"/>
                                                  <w:marTop w:val="0"/>
                                                  <w:marBottom w:val="0"/>
                                                  <w:divBdr>
                                                    <w:top w:val="none" w:sz="0" w:space="0" w:color="auto"/>
                                                    <w:left w:val="none" w:sz="0" w:space="0" w:color="auto"/>
                                                    <w:bottom w:val="none" w:sz="0" w:space="0" w:color="auto"/>
                                                    <w:right w:val="none" w:sz="0" w:space="0" w:color="auto"/>
                                                  </w:divBdr>
                                                  <w:divsChild>
                                                    <w:div w:id="1496533510">
                                                      <w:marLeft w:val="0"/>
                                                      <w:marRight w:val="0"/>
                                                      <w:marTop w:val="0"/>
                                                      <w:marBottom w:val="0"/>
                                                      <w:divBdr>
                                                        <w:top w:val="none" w:sz="0" w:space="0" w:color="auto"/>
                                                        <w:left w:val="none" w:sz="0" w:space="0" w:color="auto"/>
                                                        <w:bottom w:val="none" w:sz="0" w:space="0" w:color="auto"/>
                                                        <w:right w:val="none" w:sz="0" w:space="0" w:color="auto"/>
                                                      </w:divBdr>
                                                      <w:divsChild>
                                                        <w:div w:id="1034624134">
                                                          <w:marLeft w:val="0"/>
                                                          <w:marRight w:val="0"/>
                                                          <w:marTop w:val="0"/>
                                                          <w:marBottom w:val="0"/>
                                                          <w:divBdr>
                                                            <w:top w:val="none" w:sz="0" w:space="0" w:color="auto"/>
                                                            <w:left w:val="none" w:sz="0" w:space="0" w:color="auto"/>
                                                            <w:bottom w:val="none" w:sz="0" w:space="0" w:color="auto"/>
                                                            <w:right w:val="none" w:sz="0" w:space="0" w:color="auto"/>
                                                          </w:divBdr>
                                                          <w:divsChild>
                                                            <w:div w:id="2052339951">
                                                              <w:marLeft w:val="0"/>
                                                              <w:marRight w:val="0"/>
                                                              <w:marTop w:val="0"/>
                                                              <w:marBottom w:val="0"/>
                                                              <w:divBdr>
                                                                <w:top w:val="none" w:sz="0" w:space="0" w:color="auto"/>
                                                                <w:left w:val="none" w:sz="0" w:space="0" w:color="auto"/>
                                                                <w:bottom w:val="none" w:sz="0" w:space="0" w:color="auto"/>
                                                                <w:right w:val="none" w:sz="0" w:space="0" w:color="auto"/>
                                                              </w:divBdr>
                                                              <w:divsChild>
                                                                <w:div w:id="2015108772">
                                                                  <w:marLeft w:val="0"/>
                                                                  <w:marRight w:val="0"/>
                                                                  <w:marTop w:val="0"/>
                                                                  <w:marBottom w:val="0"/>
                                                                  <w:divBdr>
                                                                    <w:top w:val="none" w:sz="0" w:space="0" w:color="auto"/>
                                                                    <w:left w:val="none" w:sz="0" w:space="0" w:color="auto"/>
                                                                    <w:bottom w:val="none" w:sz="0" w:space="0" w:color="auto"/>
                                                                    <w:right w:val="none" w:sz="0" w:space="0" w:color="auto"/>
                                                                  </w:divBdr>
                                                                  <w:divsChild>
                                                                    <w:div w:id="348604968">
                                                                      <w:marLeft w:val="0"/>
                                                                      <w:marRight w:val="0"/>
                                                                      <w:marTop w:val="0"/>
                                                                      <w:marBottom w:val="0"/>
                                                                      <w:divBdr>
                                                                        <w:top w:val="none" w:sz="0" w:space="0" w:color="auto"/>
                                                                        <w:left w:val="none" w:sz="0" w:space="0" w:color="auto"/>
                                                                        <w:bottom w:val="none" w:sz="0" w:space="0" w:color="auto"/>
                                                                        <w:right w:val="none" w:sz="0" w:space="0" w:color="auto"/>
                                                                      </w:divBdr>
                                                                      <w:divsChild>
                                                                        <w:div w:id="210844216">
                                                                          <w:marLeft w:val="0"/>
                                                                          <w:marRight w:val="0"/>
                                                                          <w:marTop w:val="0"/>
                                                                          <w:marBottom w:val="0"/>
                                                                          <w:divBdr>
                                                                            <w:top w:val="none" w:sz="0" w:space="0" w:color="auto"/>
                                                                            <w:left w:val="none" w:sz="0" w:space="0" w:color="auto"/>
                                                                            <w:bottom w:val="none" w:sz="0" w:space="0" w:color="auto"/>
                                                                            <w:right w:val="none" w:sz="0" w:space="0" w:color="auto"/>
                                                                          </w:divBdr>
                                                                          <w:divsChild>
                                                                            <w:div w:id="363219149">
                                                                              <w:marLeft w:val="0"/>
                                                                              <w:marRight w:val="0"/>
                                                                              <w:marTop w:val="0"/>
                                                                              <w:marBottom w:val="0"/>
                                                                              <w:divBdr>
                                                                                <w:top w:val="none" w:sz="0" w:space="0" w:color="auto"/>
                                                                                <w:left w:val="none" w:sz="0" w:space="0" w:color="auto"/>
                                                                                <w:bottom w:val="none" w:sz="0" w:space="0" w:color="auto"/>
                                                                                <w:right w:val="none" w:sz="0" w:space="0" w:color="auto"/>
                                                                              </w:divBdr>
                                                                              <w:divsChild>
                                                                                <w:div w:id="1480920082">
                                                                                  <w:marLeft w:val="0"/>
                                                                                  <w:marRight w:val="0"/>
                                                                                  <w:marTop w:val="0"/>
                                                                                  <w:marBottom w:val="0"/>
                                                                                  <w:divBdr>
                                                                                    <w:top w:val="none" w:sz="0" w:space="0" w:color="auto"/>
                                                                                    <w:left w:val="none" w:sz="0" w:space="0" w:color="auto"/>
                                                                                    <w:bottom w:val="none" w:sz="0" w:space="0" w:color="auto"/>
                                                                                    <w:right w:val="none" w:sz="0" w:space="0" w:color="auto"/>
                                                                                  </w:divBdr>
                                                                                  <w:divsChild>
                                                                                    <w:div w:id="642008508">
                                                                                      <w:marLeft w:val="0"/>
                                                                                      <w:marRight w:val="0"/>
                                                                                      <w:marTop w:val="0"/>
                                                                                      <w:marBottom w:val="0"/>
                                                                                      <w:divBdr>
                                                                                        <w:top w:val="none" w:sz="0" w:space="0" w:color="auto"/>
                                                                                        <w:left w:val="none" w:sz="0" w:space="0" w:color="auto"/>
                                                                                        <w:bottom w:val="none" w:sz="0" w:space="0" w:color="auto"/>
                                                                                        <w:right w:val="none" w:sz="0" w:space="0" w:color="auto"/>
                                                                                      </w:divBdr>
                                                                                      <w:divsChild>
                                                                                        <w:div w:id="237060402">
                                                                                          <w:marLeft w:val="0"/>
                                                                                          <w:marRight w:val="0"/>
                                                                                          <w:marTop w:val="0"/>
                                                                                          <w:marBottom w:val="435"/>
                                                                                          <w:divBdr>
                                                                                            <w:top w:val="none" w:sz="0" w:space="0" w:color="auto"/>
                                                                                            <w:left w:val="none" w:sz="0" w:space="0" w:color="auto"/>
                                                                                            <w:bottom w:val="none" w:sz="0" w:space="0" w:color="auto"/>
                                                                                            <w:right w:val="none" w:sz="0" w:space="0" w:color="auto"/>
                                                                                          </w:divBdr>
                                                                                          <w:divsChild>
                                                                                            <w:div w:id="1354267353">
                                                                                              <w:marLeft w:val="0"/>
                                                                                              <w:marRight w:val="0"/>
                                                                                              <w:marTop w:val="0"/>
                                                                                              <w:marBottom w:val="0"/>
                                                                                              <w:divBdr>
                                                                                                <w:top w:val="none" w:sz="0" w:space="0" w:color="auto"/>
                                                                                                <w:left w:val="none" w:sz="0" w:space="0" w:color="auto"/>
                                                                                                <w:bottom w:val="none" w:sz="0" w:space="0" w:color="auto"/>
                                                                                                <w:right w:val="none" w:sz="0" w:space="0" w:color="auto"/>
                                                                                              </w:divBdr>
                                                                                              <w:divsChild>
                                                                                                <w:div w:id="825319559">
                                                                                                  <w:marLeft w:val="0"/>
                                                                                                  <w:marRight w:val="0"/>
                                                                                                  <w:marTop w:val="0"/>
                                                                                                  <w:marBottom w:val="0"/>
                                                                                                  <w:divBdr>
                                                                                                    <w:top w:val="none" w:sz="0" w:space="0" w:color="auto"/>
                                                                                                    <w:left w:val="none" w:sz="0" w:space="0" w:color="auto"/>
                                                                                                    <w:bottom w:val="none" w:sz="0" w:space="0" w:color="auto"/>
                                                                                                    <w:right w:val="none" w:sz="0" w:space="0" w:color="auto"/>
                                                                                                  </w:divBdr>
                                                                                                  <w:divsChild>
                                                                                                    <w:div w:id="1857763747">
                                                                                                      <w:marLeft w:val="0"/>
                                                                                                      <w:marRight w:val="0"/>
                                                                                                      <w:marTop w:val="0"/>
                                                                                                      <w:marBottom w:val="0"/>
                                                                                                      <w:divBdr>
                                                                                                        <w:top w:val="none" w:sz="0" w:space="0" w:color="auto"/>
                                                                                                        <w:left w:val="none" w:sz="0" w:space="0" w:color="auto"/>
                                                                                                        <w:bottom w:val="none" w:sz="0" w:space="0" w:color="auto"/>
                                                                                                        <w:right w:val="none" w:sz="0" w:space="0" w:color="auto"/>
                                                                                                      </w:divBdr>
                                                                                                      <w:divsChild>
                                                                                                        <w:div w:id="515311816">
                                                                                                          <w:marLeft w:val="0"/>
                                                                                                          <w:marRight w:val="0"/>
                                                                                                          <w:marTop w:val="0"/>
                                                                                                          <w:marBottom w:val="0"/>
                                                                                                          <w:divBdr>
                                                                                                            <w:top w:val="none" w:sz="0" w:space="0" w:color="auto"/>
                                                                                                            <w:left w:val="none" w:sz="0" w:space="0" w:color="auto"/>
                                                                                                            <w:bottom w:val="none" w:sz="0" w:space="0" w:color="auto"/>
                                                                                                            <w:right w:val="none" w:sz="0" w:space="0" w:color="auto"/>
                                                                                                          </w:divBdr>
                                                                                                          <w:divsChild>
                                                                                                            <w:div w:id="680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484059">
      <w:bodyDiv w:val="1"/>
      <w:marLeft w:val="0"/>
      <w:marRight w:val="0"/>
      <w:marTop w:val="0"/>
      <w:marBottom w:val="0"/>
      <w:divBdr>
        <w:top w:val="none" w:sz="0" w:space="0" w:color="auto"/>
        <w:left w:val="none" w:sz="0" w:space="0" w:color="auto"/>
        <w:bottom w:val="none" w:sz="0" w:space="0" w:color="auto"/>
        <w:right w:val="none" w:sz="0" w:space="0" w:color="auto"/>
      </w:divBdr>
    </w:div>
    <w:div w:id="1882281396">
      <w:bodyDiv w:val="1"/>
      <w:marLeft w:val="0"/>
      <w:marRight w:val="0"/>
      <w:marTop w:val="0"/>
      <w:marBottom w:val="0"/>
      <w:divBdr>
        <w:top w:val="none" w:sz="0" w:space="0" w:color="auto"/>
        <w:left w:val="none" w:sz="0" w:space="0" w:color="auto"/>
        <w:bottom w:val="none" w:sz="0" w:space="0" w:color="auto"/>
        <w:right w:val="none" w:sz="0" w:space="0" w:color="auto"/>
      </w:divBdr>
    </w:div>
    <w:div w:id="1943612409">
      <w:bodyDiv w:val="1"/>
      <w:marLeft w:val="0"/>
      <w:marRight w:val="0"/>
      <w:marTop w:val="0"/>
      <w:marBottom w:val="0"/>
      <w:divBdr>
        <w:top w:val="none" w:sz="0" w:space="0" w:color="auto"/>
        <w:left w:val="none" w:sz="0" w:space="0" w:color="auto"/>
        <w:bottom w:val="none" w:sz="0" w:space="0" w:color="auto"/>
        <w:right w:val="none" w:sz="0" w:space="0" w:color="auto"/>
      </w:divBdr>
    </w:div>
    <w:div w:id="1980574794">
      <w:bodyDiv w:val="1"/>
      <w:marLeft w:val="0"/>
      <w:marRight w:val="0"/>
      <w:marTop w:val="0"/>
      <w:marBottom w:val="0"/>
      <w:divBdr>
        <w:top w:val="none" w:sz="0" w:space="0" w:color="auto"/>
        <w:left w:val="none" w:sz="0" w:space="0" w:color="auto"/>
        <w:bottom w:val="none" w:sz="0" w:space="0" w:color="auto"/>
        <w:right w:val="none" w:sz="0" w:space="0" w:color="auto"/>
      </w:divBdr>
    </w:div>
    <w:div w:id="2072577793">
      <w:bodyDiv w:val="1"/>
      <w:marLeft w:val="0"/>
      <w:marRight w:val="0"/>
      <w:marTop w:val="0"/>
      <w:marBottom w:val="0"/>
      <w:divBdr>
        <w:top w:val="none" w:sz="0" w:space="0" w:color="auto"/>
        <w:left w:val="none" w:sz="0" w:space="0" w:color="auto"/>
        <w:bottom w:val="none" w:sz="0" w:space="0" w:color="auto"/>
        <w:right w:val="none" w:sz="0" w:space="0" w:color="auto"/>
      </w:divBdr>
    </w:div>
    <w:div w:id="2073579249">
      <w:bodyDiv w:val="1"/>
      <w:marLeft w:val="0"/>
      <w:marRight w:val="0"/>
      <w:marTop w:val="0"/>
      <w:marBottom w:val="0"/>
      <w:divBdr>
        <w:top w:val="none" w:sz="0" w:space="0" w:color="auto"/>
        <w:left w:val="none" w:sz="0" w:space="0" w:color="auto"/>
        <w:bottom w:val="none" w:sz="0" w:space="0" w:color="auto"/>
        <w:right w:val="none" w:sz="0" w:space="0" w:color="auto"/>
      </w:divBdr>
    </w:div>
    <w:div w:id="2119719907">
      <w:marLeft w:val="0"/>
      <w:marRight w:val="0"/>
      <w:marTop w:val="0"/>
      <w:marBottom w:val="0"/>
      <w:divBdr>
        <w:top w:val="none" w:sz="0" w:space="0" w:color="auto"/>
        <w:left w:val="none" w:sz="0" w:space="0" w:color="auto"/>
        <w:bottom w:val="none" w:sz="0" w:space="0" w:color="auto"/>
        <w:right w:val="none" w:sz="0" w:space="0" w:color="auto"/>
      </w:divBdr>
      <w:divsChild>
        <w:div w:id="2119719890">
          <w:marLeft w:val="1166"/>
          <w:marRight w:val="0"/>
          <w:marTop w:val="134"/>
          <w:marBottom w:val="0"/>
          <w:divBdr>
            <w:top w:val="none" w:sz="0" w:space="0" w:color="auto"/>
            <w:left w:val="none" w:sz="0" w:space="0" w:color="auto"/>
            <w:bottom w:val="none" w:sz="0" w:space="0" w:color="auto"/>
            <w:right w:val="none" w:sz="0" w:space="0" w:color="auto"/>
          </w:divBdr>
        </w:div>
        <w:div w:id="2119719894">
          <w:marLeft w:val="1800"/>
          <w:marRight w:val="0"/>
          <w:marTop w:val="134"/>
          <w:marBottom w:val="0"/>
          <w:divBdr>
            <w:top w:val="none" w:sz="0" w:space="0" w:color="auto"/>
            <w:left w:val="none" w:sz="0" w:space="0" w:color="auto"/>
            <w:bottom w:val="none" w:sz="0" w:space="0" w:color="auto"/>
            <w:right w:val="none" w:sz="0" w:space="0" w:color="auto"/>
          </w:divBdr>
        </w:div>
        <w:div w:id="2119719898">
          <w:marLeft w:val="1166"/>
          <w:marRight w:val="0"/>
          <w:marTop w:val="134"/>
          <w:marBottom w:val="0"/>
          <w:divBdr>
            <w:top w:val="none" w:sz="0" w:space="0" w:color="auto"/>
            <w:left w:val="none" w:sz="0" w:space="0" w:color="auto"/>
            <w:bottom w:val="none" w:sz="0" w:space="0" w:color="auto"/>
            <w:right w:val="none" w:sz="0" w:space="0" w:color="auto"/>
          </w:divBdr>
        </w:div>
        <w:div w:id="2119719900">
          <w:marLeft w:val="1800"/>
          <w:marRight w:val="0"/>
          <w:marTop w:val="134"/>
          <w:marBottom w:val="0"/>
          <w:divBdr>
            <w:top w:val="none" w:sz="0" w:space="0" w:color="auto"/>
            <w:left w:val="none" w:sz="0" w:space="0" w:color="auto"/>
            <w:bottom w:val="none" w:sz="0" w:space="0" w:color="auto"/>
            <w:right w:val="none" w:sz="0" w:space="0" w:color="auto"/>
          </w:divBdr>
        </w:div>
        <w:div w:id="2119719901">
          <w:marLeft w:val="1800"/>
          <w:marRight w:val="0"/>
          <w:marTop w:val="134"/>
          <w:marBottom w:val="0"/>
          <w:divBdr>
            <w:top w:val="none" w:sz="0" w:space="0" w:color="auto"/>
            <w:left w:val="none" w:sz="0" w:space="0" w:color="auto"/>
            <w:bottom w:val="none" w:sz="0" w:space="0" w:color="auto"/>
            <w:right w:val="none" w:sz="0" w:space="0" w:color="auto"/>
          </w:divBdr>
        </w:div>
        <w:div w:id="2119719902">
          <w:marLeft w:val="1800"/>
          <w:marRight w:val="0"/>
          <w:marTop w:val="134"/>
          <w:marBottom w:val="0"/>
          <w:divBdr>
            <w:top w:val="none" w:sz="0" w:space="0" w:color="auto"/>
            <w:left w:val="none" w:sz="0" w:space="0" w:color="auto"/>
            <w:bottom w:val="none" w:sz="0" w:space="0" w:color="auto"/>
            <w:right w:val="none" w:sz="0" w:space="0" w:color="auto"/>
          </w:divBdr>
        </w:div>
        <w:div w:id="2119719947">
          <w:marLeft w:val="1800"/>
          <w:marRight w:val="0"/>
          <w:marTop w:val="134"/>
          <w:marBottom w:val="0"/>
          <w:divBdr>
            <w:top w:val="none" w:sz="0" w:space="0" w:color="auto"/>
            <w:left w:val="none" w:sz="0" w:space="0" w:color="auto"/>
            <w:bottom w:val="none" w:sz="0" w:space="0" w:color="auto"/>
            <w:right w:val="none" w:sz="0" w:space="0" w:color="auto"/>
          </w:divBdr>
        </w:div>
      </w:divsChild>
    </w:div>
    <w:div w:id="2119719909">
      <w:marLeft w:val="0"/>
      <w:marRight w:val="0"/>
      <w:marTop w:val="0"/>
      <w:marBottom w:val="0"/>
      <w:divBdr>
        <w:top w:val="none" w:sz="0" w:space="0" w:color="auto"/>
        <w:left w:val="none" w:sz="0" w:space="0" w:color="auto"/>
        <w:bottom w:val="none" w:sz="0" w:space="0" w:color="auto"/>
        <w:right w:val="none" w:sz="0" w:space="0" w:color="auto"/>
      </w:divBdr>
    </w:div>
    <w:div w:id="2119719910">
      <w:marLeft w:val="0"/>
      <w:marRight w:val="0"/>
      <w:marTop w:val="0"/>
      <w:marBottom w:val="0"/>
      <w:divBdr>
        <w:top w:val="none" w:sz="0" w:space="0" w:color="auto"/>
        <w:left w:val="none" w:sz="0" w:space="0" w:color="auto"/>
        <w:bottom w:val="none" w:sz="0" w:space="0" w:color="auto"/>
        <w:right w:val="none" w:sz="0" w:space="0" w:color="auto"/>
      </w:divBdr>
      <w:divsChild>
        <w:div w:id="2119719896">
          <w:marLeft w:val="547"/>
          <w:marRight w:val="0"/>
          <w:marTop w:val="115"/>
          <w:marBottom w:val="0"/>
          <w:divBdr>
            <w:top w:val="none" w:sz="0" w:space="0" w:color="auto"/>
            <w:left w:val="none" w:sz="0" w:space="0" w:color="auto"/>
            <w:bottom w:val="none" w:sz="0" w:space="0" w:color="auto"/>
            <w:right w:val="none" w:sz="0" w:space="0" w:color="auto"/>
          </w:divBdr>
        </w:div>
        <w:div w:id="2119719906">
          <w:marLeft w:val="547"/>
          <w:marRight w:val="0"/>
          <w:marTop w:val="115"/>
          <w:marBottom w:val="0"/>
          <w:divBdr>
            <w:top w:val="none" w:sz="0" w:space="0" w:color="auto"/>
            <w:left w:val="none" w:sz="0" w:space="0" w:color="auto"/>
            <w:bottom w:val="none" w:sz="0" w:space="0" w:color="auto"/>
            <w:right w:val="none" w:sz="0" w:space="0" w:color="auto"/>
          </w:divBdr>
        </w:div>
        <w:div w:id="2119719908">
          <w:marLeft w:val="547"/>
          <w:marRight w:val="0"/>
          <w:marTop w:val="115"/>
          <w:marBottom w:val="0"/>
          <w:divBdr>
            <w:top w:val="none" w:sz="0" w:space="0" w:color="auto"/>
            <w:left w:val="none" w:sz="0" w:space="0" w:color="auto"/>
            <w:bottom w:val="none" w:sz="0" w:space="0" w:color="auto"/>
            <w:right w:val="none" w:sz="0" w:space="0" w:color="auto"/>
          </w:divBdr>
        </w:div>
      </w:divsChild>
    </w:div>
    <w:div w:id="2119719911">
      <w:marLeft w:val="0"/>
      <w:marRight w:val="0"/>
      <w:marTop w:val="0"/>
      <w:marBottom w:val="0"/>
      <w:divBdr>
        <w:top w:val="none" w:sz="0" w:space="0" w:color="auto"/>
        <w:left w:val="none" w:sz="0" w:space="0" w:color="auto"/>
        <w:bottom w:val="none" w:sz="0" w:space="0" w:color="auto"/>
        <w:right w:val="none" w:sz="0" w:space="0" w:color="auto"/>
      </w:divBdr>
      <w:divsChild>
        <w:div w:id="2119719889">
          <w:marLeft w:val="3658"/>
          <w:marRight w:val="0"/>
          <w:marTop w:val="86"/>
          <w:marBottom w:val="0"/>
          <w:divBdr>
            <w:top w:val="none" w:sz="0" w:space="0" w:color="auto"/>
            <w:left w:val="none" w:sz="0" w:space="0" w:color="auto"/>
            <w:bottom w:val="none" w:sz="0" w:space="0" w:color="auto"/>
            <w:right w:val="none" w:sz="0" w:space="0" w:color="auto"/>
          </w:divBdr>
        </w:div>
        <w:div w:id="2119719891">
          <w:marLeft w:val="1166"/>
          <w:marRight w:val="0"/>
          <w:marTop w:val="86"/>
          <w:marBottom w:val="0"/>
          <w:divBdr>
            <w:top w:val="none" w:sz="0" w:space="0" w:color="auto"/>
            <w:left w:val="none" w:sz="0" w:space="0" w:color="auto"/>
            <w:bottom w:val="none" w:sz="0" w:space="0" w:color="auto"/>
            <w:right w:val="none" w:sz="0" w:space="0" w:color="auto"/>
          </w:divBdr>
        </w:div>
        <w:div w:id="2119719892">
          <w:marLeft w:val="1166"/>
          <w:marRight w:val="0"/>
          <w:marTop w:val="86"/>
          <w:marBottom w:val="0"/>
          <w:divBdr>
            <w:top w:val="none" w:sz="0" w:space="0" w:color="auto"/>
            <w:left w:val="none" w:sz="0" w:space="0" w:color="auto"/>
            <w:bottom w:val="none" w:sz="0" w:space="0" w:color="auto"/>
            <w:right w:val="none" w:sz="0" w:space="0" w:color="auto"/>
          </w:divBdr>
        </w:div>
        <w:div w:id="2119719893">
          <w:marLeft w:val="3658"/>
          <w:marRight w:val="0"/>
          <w:marTop w:val="86"/>
          <w:marBottom w:val="0"/>
          <w:divBdr>
            <w:top w:val="none" w:sz="0" w:space="0" w:color="auto"/>
            <w:left w:val="none" w:sz="0" w:space="0" w:color="auto"/>
            <w:bottom w:val="none" w:sz="0" w:space="0" w:color="auto"/>
            <w:right w:val="none" w:sz="0" w:space="0" w:color="auto"/>
          </w:divBdr>
        </w:div>
        <w:div w:id="2119719895">
          <w:marLeft w:val="547"/>
          <w:marRight w:val="0"/>
          <w:marTop w:val="86"/>
          <w:marBottom w:val="0"/>
          <w:divBdr>
            <w:top w:val="none" w:sz="0" w:space="0" w:color="auto"/>
            <w:left w:val="none" w:sz="0" w:space="0" w:color="auto"/>
            <w:bottom w:val="none" w:sz="0" w:space="0" w:color="auto"/>
            <w:right w:val="none" w:sz="0" w:space="0" w:color="auto"/>
          </w:divBdr>
        </w:div>
        <w:div w:id="2119719897">
          <w:marLeft w:val="3658"/>
          <w:marRight w:val="0"/>
          <w:marTop w:val="86"/>
          <w:marBottom w:val="0"/>
          <w:divBdr>
            <w:top w:val="none" w:sz="0" w:space="0" w:color="auto"/>
            <w:left w:val="none" w:sz="0" w:space="0" w:color="auto"/>
            <w:bottom w:val="none" w:sz="0" w:space="0" w:color="auto"/>
            <w:right w:val="none" w:sz="0" w:space="0" w:color="auto"/>
          </w:divBdr>
        </w:div>
        <w:div w:id="2119719899">
          <w:marLeft w:val="547"/>
          <w:marRight w:val="0"/>
          <w:marTop w:val="86"/>
          <w:marBottom w:val="0"/>
          <w:divBdr>
            <w:top w:val="none" w:sz="0" w:space="0" w:color="auto"/>
            <w:left w:val="none" w:sz="0" w:space="0" w:color="auto"/>
            <w:bottom w:val="none" w:sz="0" w:space="0" w:color="auto"/>
            <w:right w:val="none" w:sz="0" w:space="0" w:color="auto"/>
          </w:divBdr>
        </w:div>
        <w:div w:id="2119719903">
          <w:marLeft w:val="835"/>
          <w:marRight w:val="0"/>
          <w:marTop w:val="86"/>
          <w:marBottom w:val="0"/>
          <w:divBdr>
            <w:top w:val="none" w:sz="0" w:space="0" w:color="auto"/>
            <w:left w:val="none" w:sz="0" w:space="0" w:color="auto"/>
            <w:bottom w:val="none" w:sz="0" w:space="0" w:color="auto"/>
            <w:right w:val="none" w:sz="0" w:space="0" w:color="auto"/>
          </w:divBdr>
        </w:div>
        <w:div w:id="2119719904">
          <w:marLeft w:val="3658"/>
          <w:marRight w:val="0"/>
          <w:marTop w:val="86"/>
          <w:marBottom w:val="0"/>
          <w:divBdr>
            <w:top w:val="none" w:sz="0" w:space="0" w:color="auto"/>
            <w:left w:val="none" w:sz="0" w:space="0" w:color="auto"/>
            <w:bottom w:val="none" w:sz="0" w:space="0" w:color="auto"/>
            <w:right w:val="none" w:sz="0" w:space="0" w:color="auto"/>
          </w:divBdr>
        </w:div>
        <w:div w:id="2119719905">
          <w:marLeft w:val="4378"/>
          <w:marRight w:val="0"/>
          <w:marTop w:val="67"/>
          <w:marBottom w:val="0"/>
          <w:divBdr>
            <w:top w:val="none" w:sz="0" w:space="0" w:color="auto"/>
            <w:left w:val="none" w:sz="0" w:space="0" w:color="auto"/>
            <w:bottom w:val="none" w:sz="0" w:space="0" w:color="auto"/>
            <w:right w:val="none" w:sz="0" w:space="0" w:color="auto"/>
          </w:divBdr>
        </w:div>
        <w:div w:id="2119719913">
          <w:marLeft w:val="1166"/>
          <w:marRight w:val="0"/>
          <w:marTop w:val="86"/>
          <w:marBottom w:val="0"/>
          <w:divBdr>
            <w:top w:val="none" w:sz="0" w:space="0" w:color="auto"/>
            <w:left w:val="none" w:sz="0" w:space="0" w:color="auto"/>
            <w:bottom w:val="none" w:sz="0" w:space="0" w:color="auto"/>
            <w:right w:val="none" w:sz="0" w:space="0" w:color="auto"/>
          </w:divBdr>
        </w:div>
      </w:divsChild>
    </w:div>
    <w:div w:id="2119719912">
      <w:marLeft w:val="0"/>
      <w:marRight w:val="0"/>
      <w:marTop w:val="0"/>
      <w:marBottom w:val="0"/>
      <w:divBdr>
        <w:top w:val="none" w:sz="0" w:space="0" w:color="auto"/>
        <w:left w:val="none" w:sz="0" w:space="0" w:color="auto"/>
        <w:bottom w:val="none" w:sz="0" w:space="0" w:color="auto"/>
        <w:right w:val="none" w:sz="0" w:space="0" w:color="auto"/>
      </w:divBdr>
    </w:div>
    <w:div w:id="2119719915">
      <w:marLeft w:val="0"/>
      <w:marRight w:val="0"/>
      <w:marTop w:val="0"/>
      <w:marBottom w:val="0"/>
      <w:divBdr>
        <w:top w:val="none" w:sz="0" w:space="0" w:color="auto"/>
        <w:left w:val="none" w:sz="0" w:space="0" w:color="auto"/>
        <w:bottom w:val="none" w:sz="0" w:space="0" w:color="auto"/>
        <w:right w:val="none" w:sz="0" w:space="0" w:color="auto"/>
      </w:divBdr>
      <w:divsChild>
        <w:div w:id="2119719914">
          <w:marLeft w:val="547"/>
          <w:marRight w:val="0"/>
          <w:marTop w:val="154"/>
          <w:marBottom w:val="0"/>
          <w:divBdr>
            <w:top w:val="none" w:sz="0" w:space="0" w:color="auto"/>
            <w:left w:val="none" w:sz="0" w:space="0" w:color="auto"/>
            <w:bottom w:val="none" w:sz="0" w:space="0" w:color="auto"/>
            <w:right w:val="none" w:sz="0" w:space="0" w:color="auto"/>
          </w:divBdr>
        </w:div>
        <w:div w:id="2119719916">
          <w:marLeft w:val="547"/>
          <w:marRight w:val="0"/>
          <w:marTop w:val="154"/>
          <w:marBottom w:val="0"/>
          <w:divBdr>
            <w:top w:val="none" w:sz="0" w:space="0" w:color="auto"/>
            <w:left w:val="none" w:sz="0" w:space="0" w:color="auto"/>
            <w:bottom w:val="none" w:sz="0" w:space="0" w:color="auto"/>
            <w:right w:val="none" w:sz="0" w:space="0" w:color="auto"/>
          </w:divBdr>
        </w:div>
        <w:div w:id="2119719917">
          <w:marLeft w:val="547"/>
          <w:marRight w:val="0"/>
          <w:marTop w:val="154"/>
          <w:marBottom w:val="0"/>
          <w:divBdr>
            <w:top w:val="none" w:sz="0" w:space="0" w:color="auto"/>
            <w:left w:val="none" w:sz="0" w:space="0" w:color="auto"/>
            <w:bottom w:val="none" w:sz="0" w:space="0" w:color="auto"/>
            <w:right w:val="none" w:sz="0" w:space="0" w:color="auto"/>
          </w:divBdr>
        </w:div>
      </w:divsChild>
    </w:div>
    <w:div w:id="2119719918">
      <w:marLeft w:val="0"/>
      <w:marRight w:val="0"/>
      <w:marTop w:val="0"/>
      <w:marBottom w:val="0"/>
      <w:divBdr>
        <w:top w:val="none" w:sz="0" w:space="0" w:color="auto"/>
        <w:left w:val="none" w:sz="0" w:space="0" w:color="auto"/>
        <w:bottom w:val="none" w:sz="0" w:space="0" w:color="auto"/>
        <w:right w:val="none" w:sz="0" w:space="0" w:color="auto"/>
      </w:divBdr>
    </w:div>
    <w:div w:id="2119719919">
      <w:marLeft w:val="0"/>
      <w:marRight w:val="0"/>
      <w:marTop w:val="0"/>
      <w:marBottom w:val="0"/>
      <w:divBdr>
        <w:top w:val="none" w:sz="0" w:space="0" w:color="auto"/>
        <w:left w:val="none" w:sz="0" w:space="0" w:color="auto"/>
        <w:bottom w:val="none" w:sz="0" w:space="0" w:color="auto"/>
        <w:right w:val="none" w:sz="0" w:space="0" w:color="auto"/>
      </w:divBdr>
    </w:div>
    <w:div w:id="2119719920">
      <w:marLeft w:val="0"/>
      <w:marRight w:val="0"/>
      <w:marTop w:val="0"/>
      <w:marBottom w:val="0"/>
      <w:divBdr>
        <w:top w:val="none" w:sz="0" w:space="0" w:color="auto"/>
        <w:left w:val="none" w:sz="0" w:space="0" w:color="auto"/>
        <w:bottom w:val="none" w:sz="0" w:space="0" w:color="auto"/>
        <w:right w:val="none" w:sz="0" w:space="0" w:color="auto"/>
      </w:divBdr>
    </w:div>
    <w:div w:id="2119719925">
      <w:marLeft w:val="0"/>
      <w:marRight w:val="0"/>
      <w:marTop w:val="0"/>
      <w:marBottom w:val="0"/>
      <w:divBdr>
        <w:top w:val="none" w:sz="0" w:space="0" w:color="auto"/>
        <w:left w:val="none" w:sz="0" w:space="0" w:color="auto"/>
        <w:bottom w:val="none" w:sz="0" w:space="0" w:color="auto"/>
        <w:right w:val="none" w:sz="0" w:space="0" w:color="auto"/>
      </w:divBdr>
    </w:div>
    <w:div w:id="2119719926">
      <w:marLeft w:val="0"/>
      <w:marRight w:val="0"/>
      <w:marTop w:val="0"/>
      <w:marBottom w:val="0"/>
      <w:divBdr>
        <w:top w:val="none" w:sz="0" w:space="0" w:color="auto"/>
        <w:left w:val="none" w:sz="0" w:space="0" w:color="auto"/>
        <w:bottom w:val="none" w:sz="0" w:space="0" w:color="auto"/>
        <w:right w:val="none" w:sz="0" w:space="0" w:color="auto"/>
      </w:divBdr>
      <w:divsChild>
        <w:div w:id="2119719929">
          <w:marLeft w:val="1166"/>
          <w:marRight w:val="0"/>
          <w:marTop w:val="96"/>
          <w:marBottom w:val="0"/>
          <w:divBdr>
            <w:top w:val="none" w:sz="0" w:space="0" w:color="auto"/>
            <w:left w:val="none" w:sz="0" w:space="0" w:color="auto"/>
            <w:bottom w:val="none" w:sz="0" w:space="0" w:color="auto"/>
            <w:right w:val="none" w:sz="0" w:space="0" w:color="auto"/>
          </w:divBdr>
        </w:div>
      </w:divsChild>
    </w:div>
    <w:div w:id="2119719927">
      <w:marLeft w:val="0"/>
      <w:marRight w:val="0"/>
      <w:marTop w:val="0"/>
      <w:marBottom w:val="0"/>
      <w:divBdr>
        <w:top w:val="none" w:sz="0" w:space="0" w:color="auto"/>
        <w:left w:val="none" w:sz="0" w:space="0" w:color="auto"/>
        <w:bottom w:val="none" w:sz="0" w:space="0" w:color="auto"/>
        <w:right w:val="none" w:sz="0" w:space="0" w:color="auto"/>
      </w:divBdr>
    </w:div>
    <w:div w:id="2119719928">
      <w:marLeft w:val="0"/>
      <w:marRight w:val="0"/>
      <w:marTop w:val="0"/>
      <w:marBottom w:val="0"/>
      <w:divBdr>
        <w:top w:val="none" w:sz="0" w:space="0" w:color="auto"/>
        <w:left w:val="none" w:sz="0" w:space="0" w:color="auto"/>
        <w:bottom w:val="none" w:sz="0" w:space="0" w:color="auto"/>
        <w:right w:val="none" w:sz="0" w:space="0" w:color="auto"/>
      </w:divBdr>
    </w:div>
    <w:div w:id="2119719931">
      <w:marLeft w:val="0"/>
      <w:marRight w:val="0"/>
      <w:marTop w:val="0"/>
      <w:marBottom w:val="0"/>
      <w:divBdr>
        <w:top w:val="none" w:sz="0" w:space="0" w:color="auto"/>
        <w:left w:val="none" w:sz="0" w:space="0" w:color="auto"/>
        <w:bottom w:val="none" w:sz="0" w:space="0" w:color="auto"/>
        <w:right w:val="none" w:sz="0" w:space="0" w:color="auto"/>
      </w:divBdr>
      <w:divsChild>
        <w:div w:id="2119719924">
          <w:marLeft w:val="446"/>
          <w:marRight w:val="0"/>
          <w:marTop w:val="0"/>
          <w:marBottom w:val="0"/>
          <w:divBdr>
            <w:top w:val="none" w:sz="0" w:space="0" w:color="auto"/>
            <w:left w:val="none" w:sz="0" w:space="0" w:color="auto"/>
            <w:bottom w:val="none" w:sz="0" w:space="0" w:color="auto"/>
            <w:right w:val="none" w:sz="0" w:space="0" w:color="auto"/>
          </w:divBdr>
        </w:div>
        <w:div w:id="2119719932">
          <w:marLeft w:val="446"/>
          <w:marRight w:val="0"/>
          <w:marTop w:val="0"/>
          <w:marBottom w:val="0"/>
          <w:divBdr>
            <w:top w:val="none" w:sz="0" w:space="0" w:color="auto"/>
            <w:left w:val="none" w:sz="0" w:space="0" w:color="auto"/>
            <w:bottom w:val="none" w:sz="0" w:space="0" w:color="auto"/>
            <w:right w:val="none" w:sz="0" w:space="0" w:color="auto"/>
          </w:divBdr>
        </w:div>
      </w:divsChild>
    </w:div>
    <w:div w:id="2119719935">
      <w:marLeft w:val="0"/>
      <w:marRight w:val="0"/>
      <w:marTop w:val="0"/>
      <w:marBottom w:val="0"/>
      <w:divBdr>
        <w:top w:val="none" w:sz="0" w:space="0" w:color="auto"/>
        <w:left w:val="none" w:sz="0" w:space="0" w:color="auto"/>
        <w:bottom w:val="none" w:sz="0" w:space="0" w:color="auto"/>
        <w:right w:val="none" w:sz="0" w:space="0" w:color="auto"/>
      </w:divBdr>
      <w:divsChild>
        <w:div w:id="2119719921">
          <w:marLeft w:val="547"/>
          <w:marRight w:val="0"/>
          <w:marTop w:val="96"/>
          <w:marBottom w:val="0"/>
          <w:divBdr>
            <w:top w:val="none" w:sz="0" w:space="0" w:color="auto"/>
            <w:left w:val="none" w:sz="0" w:space="0" w:color="auto"/>
            <w:bottom w:val="none" w:sz="0" w:space="0" w:color="auto"/>
            <w:right w:val="none" w:sz="0" w:space="0" w:color="auto"/>
          </w:divBdr>
        </w:div>
        <w:div w:id="2119719923">
          <w:marLeft w:val="1166"/>
          <w:marRight w:val="0"/>
          <w:marTop w:val="77"/>
          <w:marBottom w:val="0"/>
          <w:divBdr>
            <w:top w:val="none" w:sz="0" w:space="0" w:color="auto"/>
            <w:left w:val="none" w:sz="0" w:space="0" w:color="auto"/>
            <w:bottom w:val="none" w:sz="0" w:space="0" w:color="auto"/>
            <w:right w:val="none" w:sz="0" w:space="0" w:color="auto"/>
          </w:divBdr>
        </w:div>
        <w:div w:id="2119719933">
          <w:marLeft w:val="1166"/>
          <w:marRight w:val="0"/>
          <w:marTop w:val="77"/>
          <w:marBottom w:val="0"/>
          <w:divBdr>
            <w:top w:val="none" w:sz="0" w:space="0" w:color="auto"/>
            <w:left w:val="none" w:sz="0" w:space="0" w:color="auto"/>
            <w:bottom w:val="none" w:sz="0" w:space="0" w:color="auto"/>
            <w:right w:val="none" w:sz="0" w:space="0" w:color="auto"/>
          </w:divBdr>
        </w:div>
        <w:div w:id="2119719934">
          <w:marLeft w:val="547"/>
          <w:marRight w:val="0"/>
          <w:marTop w:val="96"/>
          <w:marBottom w:val="0"/>
          <w:divBdr>
            <w:top w:val="none" w:sz="0" w:space="0" w:color="auto"/>
            <w:left w:val="none" w:sz="0" w:space="0" w:color="auto"/>
            <w:bottom w:val="none" w:sz="0" w:space="0" w:color="auto"/>
            <w:right w:val="none" w:sz="0" w:space="0" w:color="auto"/>
          </w:divBdr>
        </w:div>
      </w:divsChild>
    </w:div>
    <w:div w:id="2119719936">
      <w:marLeft w:val="0"/>
      <w:marRight w:val="0"/>
      <w:marTop w:val="0"/>
      <w:marBottom w:val="0"/>
      <w:divBdr>
        <w:top w:val="none" w:sz="0" w:space="0" w:color="auto"/>
        <w:left w:val="none" w:sz="0" w:space="0" w:color="auto"/>
        <w:bottom w:val="none" w:sz="0" w:space="0" w:color="auto"/>
        <w:right w:val="none" w:sz="0" w:space="0" w:color="auto"/>
      </w:divBdr>
      <w:divsChild>
        <w:div w:id="2119719922">
          <w:marLeft w:val="547"/>
          <w:marRight w:val="0"/>
          <w:marTop w:val="96"/>
          <w:marBottom w:val="0"/>
          <w:divBdr>
            <w:top w:val="none" w:sz="0" w:space="0" w:color="auto"/>
            <w:left w:val="none" w:sz="0" w:space="0" w:color="auto"/>
            <w:bottom w:val="none" w:sz="0" w:space="0" w:color="auto"/>
            <w:right w:val="none" w:sz="0" w:space="0" w:color="auto"/>
          </w:divBdr>
        </w:div>
        <w:div w:id="2119719930">
          <w:marLeft w:val="547"/>
          <w:marRight w:val="0"/>
          <w:marTop w:val="96"/>
          <w:marBottom w:val="0"/>
          <w:divBdr>
            <w:top w:val="none" w:sz="0" w:space="0" w:color="auto"/>
            <w:left w:val="none" w:sz="0" w:space="0" w:color="auto"/>
            <w:bottom w:val="none" w:sz="0" w:space="0" w:color="auto"/>
            <w:right w:val="none" w:sz="0" w:space="0" w:color="auto"/>
          </w:divBdr>
        </w:div>
      </w:divsChild>
    </w:div>
    <w:div w:id="2119719937">
      <w:marLeft w:val="0"/>
      <w:marRight w:val="0"/>
      <w:marTop w:val="0"/>
      <w:marBottom w:val="0"/>
      <w:divBdr>
        <w:top w:val="none" w:sz="0" w:space="0" w:color="auto"/>
        <w:left w:val="none" w:sz="0" w:space="0" w:color="auto"/>
        <w:bottom w:val="none" w:sz="0" w:space="0" w:color="auto"/>
        <w:right w:val="none" w:sz="0" w:space="0" w:color="auto"/>
      </w:divBdr>
    </w:div>
    <w:div w:id="2119719938">
      <w:marLeft w:val="0"/>
      <w:marRight w:val="0"/>
      <w:marTop w:val="0"/>
      <w:marBottom w:val="0"/>
      <w:divBdr>
        <w:top w:val="none" w:sz="0" w:space="0" w:color="auto"/>
        <w:left w:val="none" w:sz="0" w:space="0" w:color="auto"/>
        <w:bottom w:val="none" w:sz="0" w:space="0" w:color="auto"/>
        <w:right w:val="none" w:sz="0" w:space="0" w:color="auto"/>
      </w:divBdr>
    </w:div>
    <w:div w:id="2119719939">
      <w:marLeft w:val="0"/>
      <w:marRight w:val="0"/>
      <w:marTop w:val="0"/>
      <w:marBottom w:val="0"/>
      <w:divBdr>
        <w:top w:val="none" w:sz="0" w:space="0" w:color="auto"/>
        <w:left w:val="none" w:sz="0" w:space="0" w:color="auto"/>
        <w:bottom w:val="none" w:sz="0" w:space="0" w:color="auto"/>
        <w:right w:val="none" w:sz="0" w:space="0" w:color="auto"/>
      </w:divBdr>
    </w:div>
    <w:div w:id="2119719940">
      <w:marLeft w:val="0"/>
      <w:marRight w:val="0"/>
      <w:marTop w:val="0"/>
      <w:marBottom w:val="0"/>
      <w:divBdr>
        <w:top w:val="none" w:sz="0" w:space="0" w:color="auto"/>
        <w:left w:val="none" w:sz="0" w:space="0" w:color="auto"/>
        <w:bottom w:val="none" w:sz="0" w:space="0" w:color="auto"/>
        <w:right w:val="none" w:sz="0" w:space="0" w:color="auto"/>
      </w:divBdr>
    </w:div>
    <w:div w:id="2119719941">
      <w:marLeft w:val="0"/>
      <w:marRight w:val="0"/>
      <w:marTop w:val="0"/>
      <w:marBottom w:val="0"/>
      <w:divBdr>
        <w:top w:val="none" w:sz="0" w:space="0" w:color="auto"/>
        <w:left w:val="none" w:sz="0" w:space="0" w:color="auto"/>
        <w:bottom w:val="none" w:sz="0" w:space="0" w:color="auto"/>
        <w:right w:val="none" w:sz="0" w:space="0" w:color="auto"/>
      </w:divBdr>
    </w:div>
    <w:div w:id="2119719942">
      <w:marLeft w:val="0"/>
      <w:marRight w:val="0"/>
      <w:marTop w:val="0"/>
      <w:marBottom w:val="0"/>
      <w:divBdr>
        <w:top w:val="none" w:sz="0" w:space="0" w:color="auto"/>
        <w:left w:val="none" w:sz="0" w:space="0" w:color="auto"/>
        <w:bottom w:val="none" w:sz="0" w:space="0" w:color="auto"/>
        <w:right w:val="none" w:sz="0" w:space="0" w:color="auto"/>
      </w:divBdr>
    </w:div>
    <w:div w:id="2119719943">
      <w:marLeft w:val="0"/>
      <w:marRight w:val="0"/>
      <w:marTop w:val="0"/>
      <w:marBottom w:val="0"/>
      <w:divBdr>
        <w:top w:val="none" w:sz="0" w:space="0" w:color="auto"/>
        <w:left w:val="none" w:sz="0" w:space="0" w:color="auto"/>
        <w:bottom w:val="none" w:sz="0" w:space="0" w:color="auto"/>
        <w:right w:val="none" w:sz="0" w:space="0" w:color="auto"/>
      </w:divBdr>
    </w:div>
    <w:div w:id="2119719944">
      <w:marLeft w:val="0"/>
      <w:marRight w:val="0"/>
      <w:marTop w:val="0"/>
      <w:marBottom w:val="0"/>
      <w:divBdr>
        <w:top w:val="none" w:sz="0" w:space="0" w:color="auto"/>
        <w:left w:val="none" w:sz="0" w:space="0" w:color="auto"/>
        <w:bottom w:val="none" w:sz="0" w:space="0" w:color="auto"/>
        <w:right w:val="none" w:sz="0" w:space="0" w:color="auto"/>
      </w:divBdr>
    </w:div>
    <w:div w:id="2119719945">
      <w:marLeft w:val="0"/>
      <w:marRight w:val="0"/>
      <w:marTop w:val="0"/>
      <w:marBottom w:val="0"/>
      <w:divBdr>
        <w:top w:val="none" w:sz="0" w:space="0" w:color="auto"/>
        <w:left w:val="none" w:sz="0" w:space="0" w:color="auto"/>
        <w:bottom w:val="none" w:sz="0" w:space="0" w:color="auto"/>
        <w:right w:val="none" w:sz="0" w:space="0" w:color="auto"/>
      </w:divBdr>
    </w:div>
    <w:div w:id="2119719946">
      <w:marLeft w:val="0"/>
      <w:marRight w:val="0"/>
      <w:marTop w:val="0"/>
      <w:marBottom w:val="0"/>
      <w:divBdr>
        <w:top w:val="none" w:sz="0" w:space="0" w:color="auto"/>
        <w:left w:val="none" w:sz="0" w:space="0" w:color="auto"/>
        <w:bottom w:val="none" w:sz="0" w:space="0" w:color="auto"/>
        <w:right w:val="none" w:sz="0" w:space="0" w:color="auto"/>
      </w:divBdr>
    </w:div>
    <w:div w:id="2119719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B9A9-84CF-4407-AB4C-DD27ED06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4296</Words>
  <Characters>39765</Characters>
  <Application>Microsoft Office Word</Application>
  <DocSecurity>0</DocSecurity>
  <Lines>331</Lines>
  <Paragraphs>87</Paragraphs>
  <ScaleCrop>false</ScaleCrop>
  <HeadingPairs>
    <vt:vector size="2" baseType="variant">
      <vt:variant>
        <vt:lpstr>Titre</vt:lpstr>
      </vt:variant>
      <vt:variant>
        <vt:i4>1</vt:i4>
      </vt:variant>
    </vt:vector>
  </HeadingPairs>
  <TitlesOfParts>
    <vt:vector size="1" baseType="lpstr">
      <vt:lpstr>Compte rendu 2ème journée du club des biologistes</vt:lpstr>
    </vt:vector>
  </TitlesOfParts>
  <Company>CNRS / BIO-RAD</Company>
  <LinksUpToDate>false</LinksUpToDate>
  <CharactersWithSpaces>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2ème journée du club des biologistes</dc:title>
  <dc:creator>Pouplard</dc:creator>
  <cp:lastModifiedBy>TERNISIEN Catherine</cp:lastModifiedBy>
  <cp:revision>3</cp:revision>
  <cp:lastPrinted>2019-09-10T09:02:00Z</cp:lastPrinted>
  <dcterms:created xsi:type="dcterms:W3CDTF">2024-09-18T11:07:00Z</dcterms:created>
  <dcterms:modified xsi:type="dcterms:W3CDTF">2024-09-30T15:24:00Z</dcterms:modified>
</cp:coreProperties>
</file>